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7F" w:rsidRDefault="0031417F" w:rsidP="007D00EE">
      <w:pPr>
        <w:spacing w:line="240" w:lineRule="atLeast"/>
        <w:rPr>
          <w:rFonts w:ascii="Arial" w:hAnsi="Arial" w:cs="Arial"/>
          <w:b/>
          <w:sz w:val="22"/>
          <w:szCs w:val="22"/>
        </w:rPr>
      </w:pPr>
      <w:bookmarkStart w:id="0" w:name="_GoBack"/>
      <w:bookmarkEnd w:id="0"/>
      <w:r>
        <w:rPr>
          <w:rFonts w:ascii="Arial" w:hAnsi="Arial" w:cs="Arial"/>
          <w:b/>
          <w:sz w:val="22"/>
          <w:szCs w:val="22"/>
        </w:rPr>
        <w:t>Title 210 – NEBRASKA DEPARTMENT OF INSURANCE</w:t>
      </w:r>
    </w:p>
    <w:p w:rsidR="0031417F" w:rsidRDefault="0031417F" w:rsidP="007D00EE">
      <w:pPr>
        <w:spacing w:line="240" w:lineRule="atLeast"/>
        <w:rPr>
          <w:rFonts w:ascii="Arial" w:hAnsi="Arial" w:cs="Arial"/>
          <w:b/>
          <w:sz w:val="22"/>
          <w:szCs w:val="22"/>
        </w:rPr>
      </w:pPr>
    </w:p>
    <w:p w:rsidR="00313CC4" w:rsidRPr="0031417F" w:rsidRDefault="0031417F" w:rsidP="007D00EE">
      <w:pPr>
        <w:spacing w:line="240" w:lineRule="atLeast"/>
        <w:rPr>
          <w:rFonts w:ascii="Arial" w:hAnsi="Arial" w:cs="Arial"/>
          <w:b/>
          <w:sz w:val="22"/>
          <w:szCs w:val="22"/>
        </w:rPr>
      </w:pPr>
      <w:r>
        <w:rPr>
          <w:rFonts w:ascii="Arial" w:hAnsi="Arial" w:cs="Arial"/>
          <w:b/>
          <w:sz w:val="22"/>
          <w:szCs w:val="22"/>
        </w:rPr>
        <w:t xml:space="preserve">Chapter 88 - </w:t>
      </w:r>
      <w:r w:rsidR="00426679" w:rsidRPr="0031417F">
        <w:rPr>
          <w:rFonts w:ascii="Arial" w:hAnsi="Arial" w:cs="Arial"/>
          <w:b/>
          <w:sz w:val="22"/>
          <w:szCs w:val="22"/>
        </w:rPr>
        <w:t>CORPORA</w:t>
      </w:r>
      <w:r w:rsidR="007E0247" w:rsidRPr="0031417F">
        <w:rPr>
          <w:rFonts w:ascii="Arial" w:hAnsi="Arial" w:cs="Arial"/>
          <w:b/>
          <w:sz w:val="22"/>
          <w:szCs w:val="22"/>
        </w:rPr>
        <w:t>TE GOVERNANCE ANNUAL DISCLOSURE</w:t>
      </w:r>
    </w:p>
    <w:p w:rsidR="00426679" w:rsidRPr="0031417F" w:rsidRDefault="00426679" w:rsidP="007D00EE">
      <w:pPr>
        <w:spacing w:line="240" w:lineRule="atLeast"/>
        <w:rPr>
          <w:rFonts w:ascii="Arial" w:hAnsi="Arial" w:cs="Arial"/>
          <w:b/>
          <w:sz w:val="22"/>
          <w:szCs w:val="22"/>
        </w:rPr>
      </w:pPr>
    </w:p>
    <w:p w:rsidR="00F22406" w:rsidRPr="0031417F" w:rsidRDefault="00F22406" w:rsidP="007D00EE">
      <w:pPr>
        <w:spacing w:line="240" w:lineRule="atLeast"/>
        <w:rPr>
          <w:rFonts w:ascii="Arial" w:hAnsi="Arial" w:cs="Arial"/>
          <w:b/>
          <w:sz w:val="22"/>
          <w:szCs w:val="22"/>
        </w:rPr>
      </w:pPr>
      <w:r w:rsidRPr="0031417F">
        <w:rPr>
          <w:rFonts w:ascii="Arial" w:hAnsi="Arial" w:cs="Arial"/>
          <w:b/>
          <w:sz w:val="22"/>
          <w:szCs w:val="22"/>
        </w:rPr>
        <w:t>Table of Contents</w:t>
      </w:r>
    </w:p>
    <w:p w:rsidR="00F22406" w:rsidRPr="0031417F" w:rsidRDefault="00F22406" w:rsidP="007D00EE">
      <w:pPr>
        <w:spacing w:line="240" w:lineRule="atLeast"/>
        <w:rPr>
          <w:rFonts w:ascii="Arial" w:hAnsi="Arial" w:cs="Arial"/>
          <w:sz w:val="22"/>
          <w:szCs w:val="22"/>
        </w:rPr>
      </w:pPr>
    </w:p>
    <w:p w:rsidR="00F22406" w:rsidRPr="0031417F" w:rsidRDefault="0031417F" w:rsidP="007D00EE">
      <w:pPr>
        <w:spacing w:line="240" w:lineRule="atLeast"/>
        <w:rPr>
          <w:rFonts w:ascii="Arial" w:hAnsi="Arial" w:cs="Arial"/>
          <w:sz w:val="22"/>
          <w:szCs w:val="22"/>
        </w:rPr>
      </w:pPr>
      <w:r>
        <w:rPr>
          <w:rFonts w:ascii="Arial" w:hAnsi="Arial" w:cs="Arial"/>
          <w:sz w:val="22"/>
          <w:szCs w:val="22"/>
        </w:rPr>
        <w:t>00</w:t>
      </w:r>
      <w:r w:rsidR="00F22406" w:rsidRPr="0031417F">
        <w:rPr>
          <w:rFonts w:ascii="Arial" w:hAnsi="Arial" w:cs="Arial"/>
          <w:sz w:val="22"/>
          <w:szCs w:val="22"/>
        </w:rPr>
        <w:t>1.</w:t>
      </w:r>
      <w:r w:rsidR="00F22406" w:rsidRPr="0031417F">
        <w:rPr>
          <w:rFonts w:ascii="Arial" w:hAnsi="Arial" w:cs="Arial"/>
          <w:sz w:val="22"/>
          <w:szCs w:val="22"/>
        </w:rPr>
        <w:tab/>
        <w:t>Authority</w:t>
      </w:r>
    </w:p>
    <w:p w:rsidR="00F22406" w:rsidRPr="0031417F" w:rsidRDefault="0031417F" w:rsidP="007D00EE">
      <w:pPr>
        <w:spacing w:line="240" w:lineRule="atLeast"/>
        <w:rPr>
          <w:rFonts w:ascii="Arial" w:hAnsi="Arial" w:cs="Arial"/>
          <w:sz w:val="22"/>
          <w:szCs w:val="22"/>
        </w:rPr>
      </w:pPr>
      <w:r>
        <w:rPr>
          <w:rFonts w:ascii="Arial" w:hAnsi="Arial" w:cs="Arial"/>
          <w:sz w:val="22"/>
          <w:szCs w:val="22"/>
        </w:rPr>
        <w:t>00</w:t>
      </w:r>
      <w:r w:rsidR="00F22406" w:rsidRPr="0031417F">
        <w:rPr>
          <w:rFonts w:ascii="Arial" w:hAnsi="Arial" w:cs="Arial"/>
          <w:sz w:val="22"/>
          <w:szCs w:val="22"/>
        </w:rPr>
        <w:t>2.</w:t>
      </w:r>
      <w:r w:rsidR="00F22406" w:rsidRPr="0031417F">
        <w:rPr>
          <w:rFonts w:ascii="Arial" w:hAnsi="Arial" w:cs="Arial"/>
          <w:sz w:val="22"/>
          <w:szCs w:val="22"/>
        </w:rPr>
        <w:tab/>
        <w:t>Purpose</w:t>
      </w:r>
    </w:p>
    <w:p w:rsidR="001D768C" w:rsidRPr="0031417F" w:rsidRDefault="0031417F" w:rsidP="007D00EE">
      <w:pPr>
        <w:spacing w:line="240" w:lineRule="atLeast"/>
        <w:rPr>
          <w:rFonts w:ascii="Arial" w:hAnsi="Arial" w:cs="Arial"/>
          <w:sz w:val="22"/>
          <w:szCs w:val="22"/>
        </w:rPr>
      </w:pPr>
      <w:r>
        <w:rPr>
          <w:rFonts w:ascii="Arial" w:hAnsi="Arial" w:cs="Arial"/>
          <w:sz w:val="22"/>
          <w:szCs w:val="22"/>
        </w:rPr>
        <w:t>00</w:t>
      </w:r>
      <w:r w:rsidR="001D768C" w:rsidRPr="0031417F">
        <w:rPr>
          <w:rFonts w:ascii="Arial" w:hAnsi="Arial" w:cs="Arial"/>
          <w:sz w:val="22"/>
          <w:szCs w:val="22"/>
        </w:rPr>
        <w:t>3.</w:t>
      </w:r>
      <w:r w:rsidR="001D768C" w:rsidRPr="0031417F">
        <w:rPr>
          <w:rFonts w:ascii="Arial" w:hAnsi="Arial" w:cs="Arial"/>
          <w:sz w:val="22"/>
          <w:szCs w:val="22"/>
        </w:rPr>
        <w:tab/>
        <w:t>Definitions</w:t>
      </w:r>
    </w:p>
    <w:p w:rsidR="00F22406" w:rsidRPr="0031417F" w:rsidRDefault="0031417F" w:rsidP="007D00EE">
      <w:pPr>
        <w:spacing w:line="240" w:lineRule="atLeast"/>
        <w:rPr>
          <w:rFonts w:ascii="Arial" w:hAnsi="Arial" w:cs="Arial"/>
          <w:sz w:val="22"/>
          <w:szCs w:val="22"/>
        </w:rPr>
      </w:pPr>
      <w:r>
        <w:rPr>
          <w:rFonts w:ascii="Arial" w:hAnsi="Arial" w:cs="Arial"/>
          <w:sz w:val="22"/>
          <w:szCs w:val="22"/>
        </w:rPr>
        <w:t>00</w:t>
      </w:r>
      <w:r w:rsidR="00E85190" w:rsidRPr="0031417F">
        <w:rPr>
          <w:rFonts w:ascii="Arial" w:hAnsi="Arial" w:cs="Arial"/>
          <w:sz w:val="22"/>
          <w:szCs w:val="22"/>
        </w:rPr>
        <w:t>4</w:t>
      </w:r>
      <w:r w:rsidR="0039561C" w:rsidRPr="0031417F">
        <w:rPr>
          <w:rFonts w:ascii="Arial" w:hAnsi="Arial" w:cs="Arial"/>
          <w:sz w:val="22"/>
          <w:szCs w:val="22"/>
        </w:rPr>
        <w:t>.</w:t>
      </w:r>
      <w:r w:rsidR="0039561C" w:rsidRPr="0031417F">
        <w:rPr>
          <w:rFonts w:ascii="Arial" w:hAnsi="Arial" w:cs="Arial"/>
          <w:sz w:val="22"/>
          <w:szCs w:val="22"/>
        </w:rPr>
        <w:tab/>
        <w:t xml:space="preserve">Filing </w:t>
      </w:r>
      <w:r w:rsidR="00E85190" w:rsidRPr="0031417F">
        <w:rPr>
          <w:rFonts w:ascii="Arial" w:hAnsi="Arial" w:cs="Arial"/>
          <w:sz w:val="22"/>
          <w:szCs w:val="22"/>
        </w:rPr>
        <w:t>Procedures</w:t>
      </w:r>
    </w:p>
    <w:p w:rsidR="00BB1268" w:rsidRPr="0031417F" w:rsidRDefault="0031417F" w:rsidP="007D00EE">
      <w:pPr>
        <w:spacing w:line="240" w:lineRule="atLeast"/>
        <w:rPr>
          <w:rFonts w:ascii="Arial" w:hAnsi="Arial" w:cs="Arial"/>
          <w:sz w:val="22"/>
          <w:szCs w:val="22"/>
        </w:rPr>
      </w:pPr>
      <w:r>
        <w:rPr>
          <w:rFonts w:ascii="Arial" w:hAnsi="Arial" w:cs="Arial"/>
          <w:sz w:val="22"/>
          <w:szCs w:val="22"/>
        </w:rPr>
        <w:t>00</w:t>
      </w:r>
      <w:r w:rsidR="00E85190" w:rsidRPr="0031417F">
        <w:rPr>
          <w:rFonts w:ascii="Arial" w:hAnsi="Arial" w:cs="Arial"/>
          <w:sz w:val="22"/>
          <w:szCs w:val="22"/>
        </w:rPr>
        <w:t>5</w:t>
      </w:r>
      <w:r w:rsidR="00BB1268" w:rsidRPr="0031417F">
        <w:rPr>
          <w:rFonts w:ascii="Arial" w:hAnsi="Arial" w:cs="Arial"/>
          <w:sz w:val="22"/>
          <w:szCs w:val="22"/>
        </w:rPr>
        <w:t>.</w:t>
      </w:r>
      <w:r w:rsidR="00BB1268" w:rsidRPr="0031417F">
        <w:rPr>
          <w:rFonts w:ascii="Arial" w:hAnsi="Arial" w:cs="Arial"/>
          <w:sz w:val="22"/>
          <w:szCs w:val="22"/>
        </w:rPr>
        <w:tab/>
        <w:t xml:space="preserve">Contents of Corporate Governance Annual </w:t>
      </w:r>
      <w:r w:rsidR="00D87C96" w:rsidRPr="0031417F">
        <w:rPr>
          <w:rFonts w:ascii="Arial" w:hAnsi="Arial" w:cs="Arial"/>
          <w:sz w:val="22"/>
          <w:szCs w:val="22"/>
        </w:rPr>
        <w:t>Disclosure</w:t>
      </w:r>
    </w:p>
    <w:p w:rsidR="00E85190" w:rsidRPr="0031417F" w:rsidRDefault="0031417F" w:rsidP="007D00EE">
      <w:pPr>
        <w:spacing w:line="240" w:lineRule="atLeast"/>
        <w:rPr>
          <w:rFonts w:ascii="Arial" w:hAnsi="Arial" w:cs="Arial"/>
          <w:sz w:val="22"/>
          <w:szCs w:val="22"/>
        </w:rPr>
      </w:pPr>
      <w:r>
        <w:rPr>
          <w:rFonts w:ascii="Arial" w:hAnsi="Arial" w:cs="Arial"/>
          <w:sz w:val="22"/>
          <w:szCs w:val="22"/>
        </w:rPr>
        <w:t>00</w:t>
      </w:r>
      <w:r w:rsidR="00E85190" w:rsidRPr="0031417F">
        <w:rPr>
          <w:rFonts w:ascii="Arial" w:hAnsi="Arial" w:cs="Arial"/>
          <w:sz w:val="22"/>
          <w:szCs w:val="22"/>
        </w:rPr>
        <w:t>6.</w:t>
      </w:r>
      <w:r w:rsidR="00E85190" w:rsidRPr="0031417F">
        <w:rPr>
          <w:rFonts w:ascii="Arial" w:hAnsi="Arial" w:cs="Arial"/>
          <w:sz w:val="22"/>
          <w:szCs w:val="22"/>
        </w:rPr>
        <w:tab/>
        <w:t>Severability Clause</w:t>
      </w:r>
    </w:p>
    <w:p w:rsidR="00E85190" w:rsidRPr="0031417F" w:rsidRDefault="00E85190" w:rsidP="007D00EE">
      <w:pPr>
        <w:spacing w:line="240" w:lineRule="atLeast"/>
        <w:rPr>
          <w:rFonts w:ascii="Arial" w:hAnsi="Arial" w:cs="Arial"/>
          <w:sz w:val="22"/>
          <w:szCs w:val="22"/>
        </w:rPr>
      </w:pPr>
    </w:p>
    <w:p w:rsidR="00F22406" w:rsidRPr="0031417F" w:rsidRDefault="007D00EE" w:rsidP="007D00EE">
      <w:pPr>
        <w:spacing w:line="240" w:lineRule="atLeast"/>
        <w:rPr>
          <w:rFonts w:ascii="Arial" w:hAnsi="Arial" w:cs="Arial"/>
          <w:sz w:val="22"/>
          <w:szCs w:val="22"/>
        </w:rPr>
      </w:pPr>
      <w:r>
        <w:rPr>
          <w:rFonts w:ascii="Arial" w:hAnsi="Arial" w:cs="Arial"/>
          <w:b/>
          <w:sz w:val="22"/>
          <w:szCs w:val="22"/>
        </w:rPr>
        <w:t>00</w:t>
      </w:r>
      <w:r w:rsidR="00F22406" w:rsidRPr="0031417F">
        <w:rPr>
          <w:rFonts w:ascii="Arial" w:hAnsi="Arial" w:cs="Arial"/>
          <w:b/>
          <w:sz w:val="22"/>
          <w:szCs w:val="22"/>
        </w:rPr>
        <w:t>1.</w:t>
      </w:r>
      <w:r w:rsidR="00F22406" w:rsidRPr="0031417F">
        <w:rPr>
          <w:rFonts w:ascii="Arial" w:hAnsi="Arial" w:cs="Arial"/>
          <w:b/>
          <w:sz w:val="22"/>
          <w:szCs w:val="22"/>
        </w:rPr>
        <w:tab/>
        <w:t>Authority</w:t>
      </w:r>
    </w:p>
    <w:p w:rsidR="00F22406" w:rsidRPr="0031417F" w:rsidRDefault="00F22406" w:rsidP="007D00EE">
      <w:pPr>
        <w:spacing w:line="240" w:lineRule="atLeast"/>
        <w:rPr>
          <w:rFonts w:ascii="Arial" w:hAnsi="Arial" w:cs="Arial"/>
          <w:sz w:val="22"/>
          <w:szCs w:val="22"/>
        </w:rPr>
      </w:pPr>
    </w:p>
    <w:p w:rsidR="00F22406" w:rsidRPr="0031417F" w:rsidRDefault="00F22406" w:rsidP="007D00EE">
      <w:pPr>
        <w:spacing w:line="240" w:lineRule="atLeast"/>
        <w:rPr>
          <w:rFonts w:ascii="Arial" w:hAnsi="Arial" w:cs="Arial"/>
          <w:sz w:val="22"/>
          <w:szCs w:val="22"/>
        </w:rPr>
      </w:pPr>
      <w:r w:rsidRPr="0031417F">
        <w:rPr>
          <w:rFonts w:ascii="Arial" w:hAnsi="Arial" w:cs="Arial"/>
          <w:sz w:val="22"/>
          <w:szCs w:val="22"/>
        </w:rPr>
        <w:t xml:space="preserve">These regulations are promulgated pursuant to the authority granted by </w:t>
      </w:r>
      <w:r w:rsidR="0057524A" w:rsidRPr="0031417F">
        <w:rPr>
          <w:rFonts w:ascii="Arial" w:hAnsi="Arial" w:cs="Arial"/>
          <w:sz w:val="22"/>
          <w:szCs w:val="22"/>
          <w:u w:val="single"/>
        </w:rPr>
        <w:t>Neb.</w:t>
      </w:r>
      <w:r w:rsidR="001F73B9">
        <w:rPr>
          <w:rFonts w:ascii="Arial" w:hAnsi="Arial" w:cs="Arial"/>
          <w:sz w:val="22"/>
          <w:szCs w:val="22"/>
          <w:u w:val="single"/>
        </w:rPr>
        <w:t> </w:t>
      </w:r>
      <w:r w:rsidR="0057524A" w:rsidRPr="0031417F">
        <w:rPr>
          <w:rFonts w:ascii="Arial" w:hAnsi="Arial" w:cs="Arial"/>
          <w:sz w:val="22"/>
          <w:szCs w:val="22"/>
          <w:u w:val="single"/>
        </w:rPr>
        <w:t>Rev.</w:t>
      </w:r>
      <w:r w:rsidR="001F73B9">
        <w:rPr>
          <w:rFonts w:ascii="Arial" w:hAnsi="Arial" w:cs="Arial"/>
          <w:sz w:val="22"/>
          <w:szCs w:val="22"/>
          <w:u w:val="single"/>
        </w:rPr>
        <w:t> </w:t>
      </w:r>
      <w:r w:rsidR="0057524A" w:rsidRPr="0031417F">
        <w:rPr>
          <w:rFonts w:ascii="Arial" w:hAnsi="Arial" w:cs="Arial"/>
          <w:sz w:val="22"/>
          <w:szCs w:val="22"/>
          <w:u w:val="single"/>
        </w:rPr>
        <w:t>Stat.</w:t>
      </w:r>
      <w:r w:rsidR="001F73B9">
        <w:rPr>
          <w:rFonts w:ascii="Arial" w:hAnsi="Arial" w:cs="Arial"/>
          <w:sz w:val="22"/>
          <w:szCs w:val="22"/>
        </w:rPr>
        <w:t> </w:t>
      </w:r>
      <w:r w:rsidR="0057524A" w:rsidRPr="0031417F">
        <w:rPr>
          <w:rFonts w:ascii="Arial" w:hAnsi="Arial" w:cs="Arial"/>
          <w:sz w:val="22"/>
          <w:szCs w:val="22"/>
        </w:rPr>
        <w:t>§</w:t>
      </w:r>
      <w:r w:rsidR="001F73B9">
        <w:rPr>
          <w:rFonts w:ascii="Arial" w:hAnsi="Arial" w:cs="Arial"/>
          <w:sz w:val="22"/>
          <w:szCs w:val="22"/>
        </w:rPr>
        <w:t> </w:t>
      </w:r>
      <w:r w:rsidR="0057524A" w:rsidRPr="0031417F">
        <w:rPr>
          <w:rFonts w:ascii="Arial" w:hAnsi="Arial" w:cs="Arial"/>
          <w:sz w:val="22"/>
          <w:szCs w:val="22"/>
        </w:rPr>
        <w:t>44</w:t>
      </w:r>
      <w:r w:rsidR="001F73B9">
        <w:rPr>
          <w:rFonts w:ascii="Arial" w:hAnsi="Arial" w:cs="Arial"/>
          <w:sz w:val="22"/>
          <w:szCs w:val="22"/>
        </w:rPr>
        <w:noBreakHyphen/>
      </w:r>
      <w:r w:rsidR="0057524A" w:rsidRPr="0031417F">
        <w:rPr>
          <w:rFonts w:ascii="Arial" w:hAnsi="Arial" w:cs="Arial"/>
          <w:sz w:val="22"/>
          <w:szCs w:val="22"/>
        </w:rPr>
        <w:t xml:space="preserve">101.01 and </w:t>
      </w:r>
      <w:r w:rsidR="007B5BE6" w:rsidRPr="001F73B9">
        <w:rPr>
          <w:rFonts w:ascii="Arial" w:hAnsi="Arial" w:cs="Arial"/>
          <w:sz w:val="22"/>
          <w:szCs w:val="22"/>
        </w:rPr>
        <w:t>LB772 § 9 (</w:t>
      </w:r>
      <w:r w:rsidR="00DF1BE2" w:rsidRPr="001F73B9">
        <w:rPr>
          <w:rFonts w:ascii="Arial" w:hAnsi="Arial" w:cs="Arial"/>
          <w:sz w:val="22"/>
          <w:szCs w:val="22"/>
        </w:rPr>
        <w:t>2016</w:t>
      </w:r>
      <w:r w:rsidR="007B5BE6" w:rsidRPr="001F73B9">
        <w:rPr>
          <w:rFonts w:ascii="Arial" w:hAnsi="Arial" w:cs="Arial"/>
          <w:sz w:val="22"/>
          <w:szCs w:val="22"/>
        </w:rPr>
        <w:t>)</w:t>
      </w:r>
      <w:r w:rsidRPr="001F73B9">
        <w:rPr>
          <w:rFonts w:ascii="Arial" w:hAnsi="Arial" w:cs="Arial"/>
          <w:sz w:val="22"/>
          <w:szCs w:val="22"/>
        </w:rPr>
        <w:t>.</w:t>
      </w:r>
      <w:r w:rsidR="00B236F7" w:rsidRPr="0031417F">
        <w:rPr>
          <w:rFonts w:ascii="Arial" w:hAnsi="Arial" w:cs="Arial"/>
          <w:sz w:val="22"/>
          <w:szCs w:val="22"/>
        </w:rPr>
        <w:t xml:space="preserve">  </w:t>
      </w:r>
    </w:p>
    <w:p w:rsidR="00F22406" w:rsidRPr="0031417F" w:rsidRDefault="00F22406" w:rsidP="007D00EE">
      <w:pPr>
        <w:rPr>
          <w:rFonts w:ascii="Arial" w:hAnsi="Arial" w:cs="Arial"/>
          <w:sz w:val="22"/>
          <w:szCs w:val="22"/>
        </w:rPr>
      </w:pPr>
    </w:p>
    <w:p w:rsidR="00F22406" w:rsidRPr="0031417F" w:rsidRDefault="007D00EE" w:rsidP="007D00EE">
      <w:pPr>
        <w:spacing w:line="240" w:lineRule="atLeast"/>
        <w:rPr>
          <w:rFonts w:ascii="Arial" w:hAnsi="Arial" w:cs="Arial"/>
          <w:sz w:val="22"/>
          <w:szCs w:val="22"/>
        </w:rPr>
      </w:pPr>
      <w:r>
        <w:rPr>
          <w:rFonts w:ascii="Arial" w:hAnsi="Arial" w:cs="Arial"/>
          <w:b/>
          <w:sz w:val="22"/>
          <w:szCs w:val="22"/>
        </w:rPr>
        <w:t>00</w:t>
      </w:r>
      <w:r w:rsidR="00F22406" w:rsidRPr="0031417F">
        <w:rPr>
          <w:rFonts w:ascii="Arial" w:hAnsi="Arial" w:cs="Arial"/>
          <w:b/>
          <w:sz w:val="22"/>
          <w:szCs w:val="22"/>
        </w:rPr>
        <w:t>2.</w:t>
      </w:r>
      <w:r w:rsidR="00F22406" w:rsidRPr="0031417F">
        <w:rPr>
          <w:rFonts w:ascii="Arial" w:hAnsi="Arial" w:cs="Arial"/>
          <w:b/>
          <w:sz w:val="22"/>
          <w:szCs w:val="22"/>
        </w:rPr>
        <w:tab/>
        <w:t>Purpose</w:t>
      </w:r>
    </w:p>
    <w:p w:rsidR="00F22406" w:rsidRPr="0031417F" w:rsidRDefault="00F22406" w:rsidP="007D00EE">
      <w:pPr>
        <w:spacing w:line="240" w:lineRule="atLeast"/>
        <w:rPr>
          <w:rFonts w:ascii="Arial" w:hAnsi="Arial" w:cs="Arial"/>
          <w:sz w:val="22"/>
          <w:szCs w:val="22"/>
        </w:rPr>
      </w:pPr>
    </w:p>
    <w:p w:rsidR="0076354A" w:rsidRPr="0031417F" w:rsidRDefault="0039561C" w:rsidP="007D00EE">
      <w:pPr>
        <w:rPr>
          <w:rFonts w:ascii="Arial" w:hAnsi="Arial" w:cs="Arial"/>
          <w:sz w:val="22"/>
          <w:szCs w:val="22"/>
        </w:rPr>
      </w:pPr>
      <w:r w:rsidRPr="0031417F">
        <w:rPr>
          <w:rFonts w:ascii="Arial" w:hAnsi="Arial" w:cs="Arial"/>
          <w:sz w:val="22"/>
          <w:szCs w:val="22"/>
        </w:rPr>
        <w:t>The purpose of these</w:t>
      </w:r>
      <w:r w:rsidR="004A014C" w:rsidRPr="0031417F">
        <w:rPr>
          <w:rFonts w:ascii="Arial" w:hAnsi="Arial" w:cs="Arial"/>
          <w:sz w:val="22"/>
          <w:szCs w:val="22"/>
        </w:rPr>
        <w:t xml:space="preserve"> regulation</w:t>
      </w:r>
      <w:r w:rsidRPr="0031417F">
        <w:rPr>
          <w:rFonts w:ascii="Arial" w:hAnsi="Arial" w:cs="Arial"/>
          <w:sz w:val="22"/>
          <w:szCs w:val="22"/>
        </w:rPr>
        <w:t>s</w:t>
      </w:r>
      <w:r w:rsidR="004A014C" w:rsidRPr="0031417F">
        <w:rPr>
          <w:rFonts w:ascii="Arial" w:hAnsi="Arial" w:cs="Arial"/>
          <w:sz w:val="22"/>
          <w:szCs w:val="22"/>
        </w:rPr>
        <w:t xml:space="preserve"> is to set forth the </w:t>
      </w:r>
      <w:r w:rsidR="00D83D18" w:rsidRPr="0031417F">
        <w:rPr>
          <w:rFonts w:ascii="Arial" w:hAnsi="Arial" w:cs="Arial"/>
          <w:sz w:val="22"/>
          <w:szCs w:val="22"/>
        </w:rPr>
        <w:t xml:space="preserve">procedures for filing and the required contents of </w:t>
      </w:r>
      <w:r w:rsidR="004A014C" w:rsidRPr="0031417F">
        <w:rPr>
          <w:rFonts w:ascii="Arial" w:hAnsi="Arial" w:cs="Arial"/>
          <w:sz w:val="22"/>
          <w:szCs w:val="22"/>
        </w:rPr>
        <w:t xml:space="preserve">the Corporate Governance Annual </w:t>
      </w:r>
      <w:r w:rsidR="0040797F" w:rsidRPr="0031417F">
        <w:rPr>
          <w:rFonts w:ascii="Arial" w:hAnsi="Arial" w:cs="Arial"/>
          <w:sz w:val="22"/>
          <w:szCs w:val="22"/>
        </w:rPr>
        <w:t>Disclosure (CGAD)</w:t>
      </w:r>
      <w:r w:rsidR="004A014C" w:rsidRPr="0031417F">
        <w:rPr>
          <w:rFonts w:ascii="Arial" w:hAnsi="Arial" w:cs="Arial"/>
          <w:sz w:val="22"/>
          <w:szCs w:val="22"/>
        </w:rPr>
        <w:t xml:space="preserve">, </w:t>
      </w:r>
      <w:r w:rsidR="00D83D18" w:rsidRPr="0031417F">
        <w:rPr>
          <w:rFonts w:ascii="Arial" w:hAnsi="Arial" w:cs="Arial"/>
          <w:sz w:val="22"/>
          <w:szCs w:val="22"/>
        </w:rPr>
        <w:t xml:space="preserve">deemed necessary by </w:t>
      </w:r>
      <w:r w:rsidR="0057524A" w:rsidRPr="0031417F">
        <w:rPr>
          <w:rFonts w:ascii="Arial" w:hAnsi="Arial" w:cs="Arial"/>
          <w:sz w:val="22"/>
          <w:szCs w:val="22"/>
        </w:rPr>
        <w:t xml:space="preserve">the Director to carry out the provisions of the Corporate Governance Annual Disclosure Act, </w:t>
      </w:r>
      <w:r w:rsidR="007B5BE6" w:rsidRPr="001F73B9">
        <w:rPr>
          <w:rFonts w:ascii="Arial" w:hAnsi="Arial" w:cs="Arial"/>
          <w:sz w:val="22"/>
          <w:szCs w:val="22"/>
        </w:rPr>
        <w:t>LB772</w:t>
      </w:r>
      <w:r w:rsidR="001F73B9">
        <w:rPr>
          <w:rFonts w:ascii="Arial" w:hAnsi="Arial" w:cs="Arial"/>
          <w:sz w:val="22"/>
          <w:szCs w:val="22"/>
        </w:rPr>
        <w:t> </w:t>
      </w:r>
      <w:r w:rsidR="007B5BE6" w:rsidRPr="001F73B9">
        <w:rPr>
          <w:rFonts w:ascii="Arial" w:hAnsi="Arial" w:cs="Arial"/>
          <w:sz w:val="22"/>
          <w:szCs w:val="22"/>
        </w:rPr>
        <w:t>§§ 1 through 9</w:t>
      </w:r>
      <w:r w:rsidR="007907D2" w:rsidRPr="001F73B9">
        <w:rPr>
          <w:rFonts w:ascii="Arial" w:hAnsi="Arial" w:cs="Arial"/>
          <w:sz w:val="22"/>
          <w:szCs w:val="22"/>
        </w:rPr>
        <w:t xml:space="preserve"> (2016)</w:t>
      </w:r>
      <w:r w:rsidR="007B5BE6" w:rsidRPr="001F73B9">
        <w:rPr>
          <w:rFonts w:ascii="Arial" w:hAnsi="Arial" w:cs="Arial"/>
          <w:sz w:val="22"/>
          <w:szCs w:val="22"/>
        </w:rPr>
        <w:t>.</w:t>
      </w:r>
      <w:r w:rsidR="004A014C" w:rsidRPr="0031417F">
        <w:rPr>
          <w:rFonts w:ascii="Arial" w:hAnsi="Arial" w:cs="Arial"/>
          <w:sz w:val="22"/>
          <w:szCs w:val="22"/>
        </w:rPr>
        <w:t xml:space="preserve">  </w:t>
      </w:r>
    </w:p>
    <w:p w:rsidR="0039561C" w:rsidRPr="0031417F" w:rsidRDefault="0039561C" w:rsidP="007D00EE">
      <w:pPr>
        <w:rPr>
          <w:rFonts w:ascii="Arial" w:hAnsi="Arial" w:cs="Arial"/>
          <w:b/>
          <w:sz w:val="22"/>
          <w:szCs w:val="22"/>
        </w:rPr>
      </w:pPr>
    </w:p>
    <w:p w:rsidR="001D768C" w:rsidRPr="0031417F" w:rsidRDefault="007D00EE" w:rsidP="007D00EE">
      <w:pPr>
        <w:rPr>
          <w:rFonts w:ascii="Arial" w:hAnsi="Arial" w:cs="Arial"/>
          <w:sz w:val="22"/>
          <w:szCs w:val="22"/>
        </w:rPr>
      </w:pPr>
      <w:r>
        <w:rPr>
          <w:rFonts w:ascii="Arial" w:hAnsi="Arial" w:cs="Arial"/>
          <w:b/>
          <w:sz w:val="22"/>
          <w:szCs w:val="22"/>
        </w:rPr>
        <w:t>00</w:t>
      </w:r>
      <w:r w:rsidR="001D768C" w:rsidRPr="0031417F">
        <w:rPr>
          <w:rFonts w:ascii="Arial" w:hAnsi="Arial" w:cs="Arial"/>
          <w:b/>
          <w:sz w:val="22"/>
          <w:szCs w:val="22"/>
        </w:rPr>
        <w:t>3.</w:t>
      </w:r>
      <w:r w:rsidR="001D768C" w:rsidRPr="0031417F">
        <w:rPr>
          <w:rFonts w:ascii="Arial" w:hAnsi="Arial" w:cs="Arial"/>
          <w:b/>
          <w:sz w:val="22"/>
          <w:szCs w:val="22"/>
        </w:rPr>
        <w:tab/>
        <w:t>Definitions.</w:t>
      </w:r>
    </w:p>
    <w:p w:rsidR="001D768C" w:rsidRPr="0031417F" w:rsidRDefault="001D768C" w:rsidP="007D00EE">
      <w:pPr>
        <w:rPr>
          <w:rFonts w:ascii="Arial" w:hAnsi="Arial" w:cs="Arial"/>
          <w:sz w:val="22"/>
          <w:szCs w:val="22"/>
        </w:rPr>
      </w:pPr>
    </w:p>
    <w:p w:rsidR="00E85190" w:rsidRPr="0031417F" w:rsidRDefault="007D00EE" w:rsidP="007D00EE">
      <w:pPr>
        <w:ind w:left="720"/>
        <w:rPr>
          <w:rFonts w:ascii="Arial" w:hAnsi="Arial" w:cs="Arial"/>
          <w:sz w:val="22"/>
          <w:szCs w:val="22"/>
        </w:rPr>
      </w:pPr>
      <w:r>
        <w:rPr>
          <w:rFonts w:ascii="Arial" w:hAnsi="Arial" w:cs="Arial"/>
          <w:sz w:val="22"/>
          <w:szCs w:val="22"/>
        </w:rPr>
        <w:t xml:space="preserve">(003.01) </w:t>
      </w:r>
      <w:r w:rsidR="00E85190" w:rsidRPr="0031417F">
        <w:rPr>
          <w:rFonts w:ascii="Arial" w:hAnsi="Arial" w:cs="Arial"/>
          <w:sz w:val="22"/>
          <w:szCs w:val="22"/>
        </w:rPr>
        <w:t>“</w:t>
      </w:r>
      <w:r w:rsidR="0057524A" w:rsidRPr="0031417F">
        <w:rPr>
          <w:rFonts w:ascii="Arial" w:hAnsi="Arial" w:cs="Arial"/>
          <w:sz w:val="22"/>
          <w:szCs w:val="22"/>
        </w:rPr>
        <w:t>Director</w:t>
      </w:r>
      <w:r w:rsidR="00E85190" w:rsidRPr="0031417F">
        <w:rPr>
          <w:rFonts w:ascii="Arial" w:hAnsi="Arial" w:cs="Arial"/>
          <w:sz w:val="22"/>
          <w:szCs w:val="22"/>
        </w:rPr>
        <w:t xml:space="preserve">.”  The </w:t>
      </w:r>
      <w:r w:rsidR="0057524A" w:rsidRPr="0031417F">
        <w:rPr>
          <w:rFonts w:ascii="Arial" w:hAnsi="Arial" w:cs="Arial"/>
          <w:sz w:val="22"/>
          <w:szCs w:val="22"/>
        </w:rPr>
        <w:t>Director of Insurance</w:t>
      </w:r>
      <w:r w:rsidR="00E85190" w:rsidRPr="0031417F">
        <w:rPr>
          <w:rFonts w:ascii="Arial" w:hAnsi="Arial" w:cs="Arial"/>
          <w:sz w:val="22"/>
          <w:szCs w:val="22"/>
        </w:rPr>
        <w:t>.</w:t>
      </w:r>
    </w:p>
    <w:p w:rsidR="00E85190" w:rsidRPr="0031417F" w:rsidRDefault="00E85190" w:rsidP="007D00EE">
      <w:pPr>
        <w:ind w:left="720" w:hanging="720"/>
        <w:rPr>
          <w:rFonts w:ascii="Arial" w:hAnsi="Arial" w:cs="Arial"/>
          <w:sz w:val="22"/>
          <w:szCs w:val="22"/>
        </w:rPr>
      </w:pPr>
    </w:p>
    <w:p w:rsidR="001D768C" w:rsidRPr="0031417F" w:rsidRDefault="007D00EE" w:rsidP="007D00EE">
      <w:pPr>
        <w:ind w:left="720"/>
        <w:rPr>
          <w:rFonts w:ascii="Arial" w:hAnsi="Arial" w:cs="Arial"/>
          <w:sz w:val="22"/>
          <w:szCs w:val="22"/>
        </w:rPr>
      </w:pPr>
      <w:r>
        <w:rPr>
          <w:rFonts w:ascii="Arial" w:hAnsi="Arial" w:cs="Arial"/>
          <w:sz w:val="22"/>
          <w:szCs w:val="22"/>
        </w:rPr>
        <w:t xml:space="preserve">(003.02) </w:t>
      </w:r>
      <w:r w:rsidR="001D768C" w:rsidRPr="0031417F">
        <w:rPr>
          <w:rFonts w:ascii="Arial" w:hAnsi="Arial" w:cs="Arial"/>
          <w:sz w:val="22"/>
          <w:szCs w:val="22"/>
        </w:rPr>
        <w:t xml:space="preserve">“Insurance group.”  For the purpose of this </w:t>
      </w:r>
      <w:r w:rsidR="0057524A" w:rsidRPr="0031417F">
        <w:rPr>
          <w:rFonts w:ascii="Arial" w:hAnsi="Arial" w:cs="Arial"/>
          <w:sz w:val="22"/>
          <w:szCs w:val="22"/>
        </w:rPr>
        <w:t>regulation</w:t>
      </w:r>
      <w:r w:rsidR="001D768C" w:rsidRPr="0031417F">
        <w:rPr>
          <w:rFonts w:ascii="Arial" w:hAnsi="Arial" w:cs="Arial"/>
          <w:sz w:val="22"/>
          <w:szCs w:val="22"/>
        </w:rPr>
        <w:t xml:space="preserve">, the term “insurance group” shall mean those insurers and affiliates included within an insurance holding company system as defined in </w:t>
      </w:r>
      <w:r w:rsidR="0057524A" w:rsidRPr="0031417F">
        <w:rPr>
          <w:rFonts w:ascii="Arial" w:hAnsi="Arial" w:cs="Arial"/>
          <w:sz w:val="22"/>
          <w:szCs w:val="22"/>
          <w:u w:val="single"/>
        </w:rPr>
        <w:t>Neb. Rev. Stat.</w:t>
      </w:r>
      <w:r w:rsidR="0057524A" w:rsidRPr="0031417F">
        <w:rPr>
          <w:rFonts w:ascii="Arial" w:hAnsi="Arial" w:cs="Arial"/>
          <w:sz w:val="22"/>
          <w:szCs w:val="22"/>
        </w:rPr>
        <w:t xml:space="preserve"> § 44-2121.</w:t>
      </w:r>
    </w:p>
    <w:p w:rsidR="001D768C" w:rsidRPr="0031417F" w:rsidRDefault="001D768C" w:rsidP="007D00EE">
      <w:pPr>
        <w:ind w:left="720" w:hanging="720"/>
        <w:rPr>
          <w:rFonts w:ascii="Arial" w:hAnsi="Arial" w:cs="Arial"/>
          <w:sz w:val="22"/>
          <w:szCs w:val="22"/>
        </w:rPr>
      </w:pPr>
    </w:p>
    <w:p w:rsidR="00045307" w:rsidRPr="0031417F" w:rsidRDefault="007D00EE" w:rsidP="007D00EE">
      <w:pPr>
        <w:ind w:left="720"/>
        <w:rPr>
          <w:rFonts w:ascii="Arial" w:hAnsi="Arial" w:cs="Arial"/>
          <w:sz w:val="22"/>
          <w:szCs w:val="22"/>
        </w:rPr>
      </w:pPr>
      <w:r>
        <w:rPr>
          <w:rFonts w:ascii="Arial" w:hAnsi="Arial" w:cs="Arial"/>
          <w:sz w:val="22"/>
          <w:szCs w:val="22"/>
        </w:rPr>
        <w:t>(003.03)</w:t>
      </w:r>
      <w:r w:rsidRPr="0031417F">
        <w:rPr>
          <w:rFonts w:ascii="Arial" w:hAnsi="Arial" w:cs="Arial"/>
          <w:sz w:val="22"/>
          <w:szCs w:val="22"/>
        </w:rPr>
        <w:t xml:space="preserve"> </w:t>
      </w:r>
      <w:r w:rsidR="001D768C" w:rsidRPr="0031417F">
        <w:rPr>
          <w:rFonts w:ascii="Arial" w:hAnsi="Arial" w:cs="Arial"/>
          <w:sz w:val="22"/>
          <w:szCs w:val="22"/>
        </w:rPr>
        <w:t xml:space="preserve">“Insurer.”  The term “insurer” shall have the same meaning as set forth in </w:t>
      </w:r>
      <w:r w:rsidR="0057524A" w:rsidRPr="0031417F">
        <w:rPr>
          <w:rFonts w:ascii="Arial" w:hAnsi="Arial" w:cs="Arial"/>
          <w:sz w:val="22"/>
          <w:szCs w:val="22"/>
          <w:u w:val="single"/>
        </w:rPr>
        <w:t>Neb. Rev. Stat.</w:t>
      </w:r>
      <w:r w:rsidR="0057524A" w:rsidRPr="0031417F">
        <w:rPr>
          <w:rFonts w:ascii="Arial" w:hAnsi="Arial" w:cs="Arial"/>
          <w:sz w:val="22"/>
          <w:szCs w:val="22"/>
        </w:rPr>
        <w:t xml:space="preserve"> § 44-103</w:t>
      </w:r>
      <w:r w:rsidR="001D768C" w:rsidRPr="0031417F">
        <w:rPr>
          <w:rFonts w:ascii="Arial" w:hAnsi="Arial" w:cs="Arial"/>
          <w:sz w:val="22"/>
          <w:szCs w:val="22"/>
        </w:rPr>
        <w:t>, except that it shall not include agencies, authorities or instrumentalities of the United States, its possessions and territories, the Commonwealth of Puerto Rico, the District of Columbia, or a state or political subdivision of a state.</w:t>
      </w:r>
    </w:p>
    <w:p w:rsidR="00045307" w:rsidRPr="0031417F" w:rsidRDefault="00045307" w:rsidP="007D00EE">
      <w:pPr>
        <w:ind w:left="720" w:hanging="720"/>
        <w:rPr>
          <w:rFonts w:ascii="Arial" w:hAnsi="Arial" w:cs="Arial"/>
          <w:sz w:val="22"/>
          <w:szCs w:val="22"/>
        </w:rPr>
      </w:pPr>
    </w:p>
    <w:p w:rsidR="001D768C" w:rsidRPr="0031417F" w:rsidRDefault="007D00EE" w:rsidP="007D00EE">
      <w:pPr>
        <w:ind w:left="720"/>
        <w:rPr>
          <w:rFonts w:ascii="Arial" w:hAnsi="Arial" w:cs="Arial"/>
          <w:sz w:val="22"/>
          <w:szCs w:val="22"/>
        </w:rPr>
      </w:pPr>
      <w:r>
        <w:rPr>
          <w:rFonts w:ascii="Arial" w:hAnsi="Arial" w:cs="Arial"/>
          <w:sz w:val="22"/>
          <w:szCs w:val="22"/>
        </w:rPr>
        <w:t xml:space="preserve">(003.04) </w:t>
      </w:r>
      <w:r w:rsidR="00045307" w:rsidRPr="0031417F">
        <w:rPr>
          <w:rFonts w:ascii="Arial" w:hAnsi="Arial" w:cs="Arial"/>
          <w:sz w:val="22"/>
          <w:szCs w:val="22"/>
        </w:rPr>
        <w:t>“Senior Management.” The term “senior management” shall mean any corporate officer responsible for reporting information to the board of directors at regular intervals or providing this information to shareholders or regulators and shall include, for example and without limitation, the Chief Executive Officer (“CEO”), Chief Financial Officer (“CFO”), Chief Operations Officer (“COO”), Chief Procurement Officer (“CPO”), Chief Legal Officer (“CLO”), Chief Information Officer (“CIO”),  Chief Technology Officer (“CTO”), Chief Revenue Officer (“CRO”), Chief Visionary Officer (“CVO”), or any other “C” level executive.</w:t>
      </w:r>
      <w:r w:rsidR="001D768C" w:rsidRPr="0031417F">
        <w:rPr>
          <w:rFonts w:ascii="Arial" w:hAnsi="Arial" w:cs="Arial"/>
          <w:sz w:val="22"/>
          <w:szCs w:val="22"/>
        </w:rPr>
        <w:t xml:space="preserve"> </w:t>
      </w:r>
    </w:p>
    <w:p w:rsidR="001D768C" w:rsidRPr="0031417F" w:rsidRDefault="001D768C" w:rsidP="007D00EE">
      <w:pPr>
        <w:spacing w:line="240" w:lineRule="atLeast"/>
        <w:rPr>
          <w:rFonts w:ascii="Arial" w:hAnsi="Arial" w:cs="Arial"/>
          <w:b/>
          <w:sz w:val="22"/>
          <w:szCs w:val="22"/>
        </w:rPr>
      </w:pPr>
    </w:p>
    <w:p w:rsidR="00F22406" w:rsidRPr="0031417F" w:rsidRDefault="007D00EE" w:rsidP="007D00EE">
      <w:pPr>
        <w:tabs>
          <w:tab w:val="left" w:pos="1440"/>
        </w:tabs>
        <w:spacing w:line="240" w:lineRule="atLeast"/>
        <w:ind w:left="720" w:hanging="720"/>
        <w:rPr>
          <w:rFonts w:ascii="Arial" w:hAnsi="Arial" w:cs="Arial"/>
          <w:b/>
          <w:sz w:val="22"/>
          <w:szCs w:val="22"/>
        </w:rPr>
      </w:pPr>
      <w:r>
        <w:rPr>
          <w:rFonts w:ascii="Arial" w:hAnsi="Arial" w:cs="Arial"/>
          <w:b/>
          <w:sz w:val="22"/>
          <w:szCs w:val="22"/>
        </w:rPr>
        <w:t>00</w:t>
      </w:r>
      <w:r w:rsidR="00E85190" w:rsidRPr="0031417F">
        <w:rPr>
          <w:rFonts w:ascii="Arial" w:hAnsi="Arial" w:cs="Arial"/>
          <w:b/>
          <w:sz w:val="22"/>
          <w:szCs w:val="22"/>
        </w:rPr>
        <w:t>4</w:t>
      </w:r>
      <w:r w:rsidR="00F22406" w:rsidRPr="0031417F">
        <w:rPr>
          <w:rFonts w:ascii="Arial" w:hAnsi="Arial" w:cs="Arial"/>
          <w:b/>
          <w:sz w:val="22"/>
          <w:szCs w:val="22"/>
        </w:rPr>
        <w:t>.</w:t>
      </w:r>
      <w:r w:rsidR="00F22406" w:rsidRPr="0031417F">
        <w:rPr>
          <w:rFonts w:ascii="Arial" w:hAnsi="Arial" w:cs="Arial"/>
          <w:b/>
          <w:sz w:val="22"/>
          <w:szCs w:val="22"/>
        </w:rPr>
        <w:tab/>
      </w:r>
      <w:r w:rsidR="008E1E70" w:rsidRPr="0031417F">
        <w:rPr>
          <w:rFonts w:ascii="Arial" w:hAnsi="Arial" w:cs="Arial"/>
          <w:b/>
          <w:sz w:val="22"/>
          <w:szCs w:val="22"/>
        </w:rPr>
        <w:t xml:space="preserve">Filing </w:t>
      </w:r>
      <w:r w:rsidR="00D83D18" w:rsidRPr="0031417F">
        <w:rPr>
          <w:rFonts w:ascii="Arial" w:hAnsi="Arial" w:cs="Arial"/>
          <w:b/>
          <w:sz w:val="22"/>
          <w:szCs w:val="22"/>
        </w:rPr>
        <w:t>Procedures</w:t>
      </w:r>
    </w:p>
    <w:p w:rsidR="00F22406" w:rsidRPr="0031417F" w:rsidRDefault="00F22406" w:rsidP="007D00EE">
      <w:pPr>
        <w:tabs>
          <w:tab w:val="left" w:pos="1440"/>
        </w:tabs>
        <w:spacing w:line="240" w:lineRule="atLeast"/>
        <w:ind w:left="720" w:hanging="720"/>
        <w:rPr>
          <w:rFonts w:ascii="Arial" w:hAnsi="Arial" w:cs="Arial"/>
          <w:sz w:val="22"/>
          <w:szCs w:val="22"/>
        </w:rPr>
      </w:pPr>
    </w:p>
    <w:p w:rsidR="0066067E" w:rsidRPr="0031417F" w:rsidRDefault="007D00EE" w:rsidP="007D00EE">
      <w:pPr>
        <w:tabs>
          <w:tab w:val="right" w:pos="360"/>
        </w:tabs>
        <w:ind w:left="720" w:hanging="72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(004.01) </w:t>
      </w:r>
      <w:r w:rsidR="005605E4" w:rsidRPr="0031417F">
        <w:rPr>
          <w:rFonts w:ascii="Arial" w:eastAsia="Calibri" w:hAnsi="Arial" w:cs="Arial"/>
          <w:sz w:val="22"/>
          <w:szCs w:val="22"/>
        </w:rPr>
        <w:t xml:space="preserve">An insurer, or the insurance group of which the insurer is a member, </w:t>
      </w:r>
      <w:r w:rsidR="00D83D18" w:rsidRPr="0031417F">
        <w:rPr>
          <w:rFonts w:ascii="Arial" w:eastAsia="Calibri" w:hAnsi="Arial" w:cs="Arial"/>
          <w:sz w:val="22"/>
          <w:szCs w:val="22"/>
        </w:rPr>
        <w:t>required to file a CGA</w:t>
      </w:r>
      <w:r w:rsidR="0040797F" w:rsidRPr="0031417F">
        <w:rPr>
          <w:rFonts w:ascii="Arial" w:eastAsia="Calibri" w:hAnsi="Arial" w:cs="Arial"/>
          <w:sz w:val="22"/>
          <w:szCs w:val="22"/>
        </w:rPr>
        <w:t>D</w:t>
      </w:r>
      <w:r w:rsidR="00D83D18" w:rsidRPr="0031417F">
        <w:rPr>
          <w:rFonts w:ascii="Arial" w:eastAsia="Calibri" w:hAnsi="Arial" w:cs="Arial"/>
          <w:sz w:val="22"/>
          <w:szCs w:val="22"/>
        </w:rPr>
        <w:t xml:space="preserve"> by the</w:t>
      </w:r>
      <w:r w:rsidR="0057524A" w:rsidRPr="0031417F">
        <w:rPr>
          <w:rFonts w:ascii="Arial" w:eastAsia="Calibri" w:hAnsi="Arial" w:cs="Arial"/>
          <w:sz w:val="22"/>
          <w:szCs w:val="22"/>
        </w:rPr>
        <w:t xml:space="preserve"> Corporate Governance Annual Disclsoure Act</w:t>
      </w:r>
      <w:r w:rsidR="00D83D18" w:rsidRPr="0031417F">
        <w:rPr>
          <w:rFonts w:ascii="Arial" w:eastAsia="Calibri" w:hAnsi="Arial" w:cs="Arial"/>
          <w:sz w:val="22"/>
          <w:szCs w:val="22"/>
        </w:rPr>
        <w:t xml:space="preserve">, </w:t>
      </w:r>
      <w:r w:rsidR="005605E4" w:rsidRPr="0031417F">
        <w:rPr>
          <w:rFonts w:ascii="Arial" w:eastAsia="Calibri" w:hAnsi="Arial" w:cs="Arial"/>
          <w:sz w:val="22"/>
          <w:szCs w:val="22"/>
        </w:rPr>
        <w:t xml:space="preserve">shall, no later than </w:t>
      </w:r>
      <w:r w:rsidR="005605E4" w:rsidRPr="0031417F">
        <w:rPr>
          <w:rFonts w:ascii="Arial" w:eastAsia="Calibri" w:hAnsi="Arial" w:cs="Arial"/>
          <w:sz w:val="22"/>
          <w:szCs w:val="22"/>
        </w:rPr>
        <w:lastRenderedPageBreak/>
        <w:t xml:space="preserve">June 1 of each calendar year, submit to the </w:t>
      </w:r>
      <w:r w:rsidR="00F877D3" w:rsidRPr="0031417F">
        <w:rPr>
          <w:rFonts w:ascii="Arial" w:eastAsia="Calibri" w:hAnsi="Arial" w:cs="Arial"/>
          <w:sz w:val="22"/>
          <w:szCs w:val="22"/>
        </w:rPr>
        <w:t>Director</w:t>
      </w:r>
      <w:r w:rsidR="005605E4" w:rsidRPr="0031417F">
        <w:rPr>
          <w:rFonts w:ascii="Arial" w:eastAsia="Calibri" w:hAnsi="Arial" w:cs="Arial"/>
          <w:sz w:val="22"/>
          <w:szCs w:val="22"/>
        </w:rPr>
        <w:t xml:space="preserve"> a </w:t>
      </w:r>
      <w:r w:rsidR="0040797F" w:rsidRPr="0031417F">
        <w:rPr>
          <w:rFonts w:ascii="Arial" w:eastAsia="Calibri" w:hAnsi="Arial" w:cs="Arial"/>
          <w:sz w:val="22"/>
          <w:szCs w:val="22"/>
        </w:rPr>
        <w:t xml:space="preserve">CGAD </w:t>
      </w:r>
      <w:r w:rsidR="005605E4" w:rsidRPr="0031417F">
        <w:rPr>
          <w:rFonts w:ascii="Arial" w:eastAsia="Calibri" w:hAnsi="Arial" w:cs="Arial"/>
          <w:sz w:val="22"/>
          <w:szCs w:val="22"/>
        </w:rPr>
        <w:t xml:space="preserve">that contains the information described in </w:t>
      </w:r>
      <w:r>
        <w:rPr>
          <w:rFonts w:ascii="Arial" w:eastAsia="Calibri" w:hAnsi="Arial" w:cs="Arial"/>
          <w:sz w:val="22"/>
          <w:szCs w:val="22"/>
        </w:rPr>
        <w:t>005</w:t>
      </w:r>
      <w:r w:rsidR="00282070" w:rsidRPr="0031417F">
        <w:rPr>
          <w:rFonts w:ascii="Arial" w:eastAsia="Calibri" w:hAnsi="Arial" w:cs="Arial"/>
          <w:sz w:val="22"/>
          <w:szCs w:val="22"/>
        </w:rPr>
        <w:t xml:space="preserve"> </w:t>
      </w:r>
      <w:r w:rsidR="005605E4" w:rsidRPr="0031417F">
        <w:rPr>
          <w:rFonts w:ascii="Arial" w:eastAsia="Calibri" w:hAnsi="Arial" w:cs="Arial"/>
          <w:sz w:val="22"/>
          <w:szCs w:val="22"/>
        </w:rPr>
        <w:t xml:space="preserve">of these regulations. </w:t>
      </w:r>
    </w:p>
    <w:p w:rsidR="00BF5BE4" w:rsidRPr="0031417F" w:rsidRDefault="00BF5BE4" w:rsidP="007D00EE">
      <w:pPr>
        <w:ind w:left="720" w:hanging="720"/>
        <w:rPr>
          <w:rFonts w:ascii="Arial" w:eastAsia="Calibri" w:hAnsi="Arial" w:cs="Arial"/>
          <w:sz w:val="22"/>
          <w:szCs w:val="22"/>
        </w:rPr>
      </w:pPr>
    </w:p>
    <w:p w:rsidR="00BB1268" w:rsidRPr="0031417F" w:rsidRDefault="007D00EE" w:rsidP="007D00EE">
      <w:pPr>
        <w:ind w:left="720"/>
        <w:rPr>
          <w:rFonts w:ascii="Arial" w:eastAsia="Calibri" w:hAnsi="Arial" w:cs="Arial"/>
          <w:sz w:val="22"/>
          <w:szCs w:val="22"/>
        </w:rPr>
      </w:pPr>
      <w:r>
        <w:rPr>
          <w:rFonts w:ascii="Arial" w:eastAsia="Calibri" w:hAnsi="Arial" w:cs="Arial"/>
          <w:sz w:val="22"/>
          <w:szCs w:val="22"/>
        </w:rPr>
        <w:t xml:space="preserve">(004.02) </w:t>
      </w:r>
      <w:r w:rsidR="005605E4" w:rsidRPr="0031417F">
        <w:rPr>
          <w:rFonts w:ascii="Arial" w:eastAsia="Calibri" w:hAnsi="Arial" w:cs="Arial"/>
          <w:sz w:val="22"/>
          <w:szCs w:val="22"/>
        </w:rPr>
        <w:t xml:space="preserve">The </w:t>
      </w:r>
      <w:r w:rsidR="004A15E2" w:rsidRPr="0031417F">
        <w:rPr>
          <w:rFonts w:ascii="Arial" w:eastAsia="Calibri" w:hAnsi="Arial" w:cs="Arial"/>
          <w:sz w:val="22"/>
          <w:szCs w:val="22"/>
        </w:rPr>
        <w:t xml:space="preserve">CGAD </w:t>
      </w:r>
      <w:r w:rsidR="005605E4" w:rsidRPr="0031417F">
        <w:rPr>
          <w:rFonts w:ascii="Arial" w:eastAsia="Calibri" w:hAnsi="Arial" w:cs="Arial"/>
          <w:sz w:val="22"/>
          <w:szCs w:val="22"/>
        </w:rPr>
        <w:t>must include a signature of the insurer’s</w:t>
      </w:r>
      <w:r w:rsidR="001D768C" w:rsidRPr="0031417F">
        <w:rPr>
          <w:rFonts w:ascii="Arial" w:eastAsia="Calibri" w:hAnsi="Arial" w:cs="Arial"/>
          <w:sz w:val="22"/>
          <w:szCs w:val="22"/>
        </w:rPr>
        <w:t xml:space="preserve"> or insurance group’s</w:t>
      </w:r>
      <w:r w:rsidR="005605E4" w:rsidRPr="0031417F">
        <w:rPr>
          <w:rFonts w:ascii="Arial" w:eastAsia="Calibri" w:hAnsi="Arial" w:cs="Arial"/>
          <w:sz w:val="22"/>
          <w:szCs w:val="22"/>
        </w:rPr>
        <w:t xml:space="preserve"> chief executive officer or corporate secretary attesting to the best of that individual’s belief and knowledge that the insurer</w:t>
      </w:r>
      <w:r w:rsidR="001D768C" w:rsidRPr="0031417F">
        <w:rPr>
          <w:rFonts w:ascii="Arial" w:eastAsia="Calibri" w:hAnsi="Arial" w:cs="Arial"/>
          <w:sz w:val="22"/>
          <w:szCs w:val="22"/>
        </w:rPr>
        <w:t xml:space="preserve"> </w:t>
      </w:r>
      <w:r w:rsidR="00203A15" w:rsidRPr="0031417F">
        <w:rPr>
          <w:rFonts w:ascii="Arial" w:hAnsi="Arial" w:cs="Arial"/>
          <w:sz w:val="22"/>
          <w:szCs w:val="22"/>
        </w:rPr>
        <w:t>or insurance group</w:t>
      </w:r>
      <w:r w:rsidR="005605E4" w:rsidRPr="0031417F">
        <w:rPr>
          <w:rFonts w:ascii="Arial" w:eastAsia="Calibri" w:hAnsi="Arial" w:cs="Arial"/>
          <w:sz w:val="22"/>
          <w:szCs w:val="22"/>
        </w:rPr>
        <w:t xml:space="preserve"> has implemented the corporate governance practices and that a copy of the </w:t>
      </w:r>
      <w:r w:rsidR="004A15E2" w:rsidRPr="0031417F">
        <w:rPr>
          <w:rFonts w:ascii="Arial" w:eastAsia="Calibri" w:hAnsi="Arial" w:cs="Arial"/>
          <w:sz w:val="22"/>
          <w:szCs w:val="22"/>
        </w:rPr>
        <w:t xml:space="preserve">CGAD </w:t>
      </w:r>
      <w:r w:rsidR="005605E4" w:rsidRPr="0031417F">
        <w:rPr>
          <w:rFonts w:ascii="Arial" w:eastAsia="Calibri" w:hAnsi="Arial" w:cs="Arial"/>
          <w:sz w:val="22"/>
          <w:szCs w:val="22"/>
        </w:rPr>
        <w:t>has been provided to the insurer’s</w:t>
      </w:r>
      <w:r w:rsidR="001D768C" w:rsidRPr="0031417F">
        <w:rPr>
          <w:rFonts w:ascii="Arial" w:eastAsia="Calibri" w:hAnsi="Arial" w:cs="Arial"/>
          <w:sz w:val="22"/>
          <w:szCs w:val="22"/>
        </w:rPr>
        <w:t xml:space="preserve"> or insurance group’s</w:t>
      </w:r>
      <w:r w:rsidR="005605E4" w:rsidRPr="0031417F">
        <w:rPr>
          <w:rFonts w:ascii="Arial" w:eastAsia="Calibri" w:hAnsi="Arial" w:cs="Arial"/>
          <w:sz w:val="22"/>
          <w:szCs w:val="22"/>
        </w:rPr>
        <w:t xml:space="preserve"> </w:t>
      </w:r>
      <w:r w:rsidR="0071729C" w:rsidRPr="0031417F">
        <w:rPr>
          <w:rFonts w:ascii="Arial" w:eastAsia="Calibri" w:hAnsi="Arial" w:cs="Arial"/>
          <w:sz w:val="22"/>
          <w:szCs w:val="22"/>
        </w:rPr>
        <w:t>Board of Directors (hereafter “B</w:t>
      </w:r>
      <w:r w:rsidR="00E351E1" w:rsidRPr="0031417F">
        <w:rPr>
          <w:rFonts w:ascii="Arial" w:eastAsia="Calibri" w:hAnsi="Arial" w:cs="Arial"/>
          <w:sz w:val="22"/>
          <w:szCs w:val="22"/>
        </w:rPr>
        <w:t xml:space="preserve">oard”) </w:t>
      </w:r>
      <w:r w:rsidR="005605E4" w:rsidRPr="0031417F">
        <w:rPr>
          <w:rFonts w:ascii="Arial" w:eastAsia="Calibri" w:hAnsi="Arial" w:cs="Arial"/>
          <w:sz w:val="22"/>
          <w:szCs w:val="22"/>
        </w:rPr>
        <w:t xml:space="preserve">or the appropriate committee thereof. </w:t>
      </w:r>
    </w:p>
    <w:p w:rsidR="00BB1268" w:rsidRPr="0031417F" w:rsidRDefault="00BB1268" w:rsidP="007D00EE">
      <w:pPr>
        <w:tabs>
          <w:tab w:val="left" w:pos="1440"/>
        </w:tabs>
        <w:spacing w:line="240" w:lineRule="atLeast"/>
        <w:ind w:left="720" w:hanging="720"/>
        <w:rPr>
          <w:rFonts w:ascii="Arial" w:hAnsi="Arial" w:cs="Arial"/>
          <w:sz w:val="22"/>
          <w:szCs w:val="22"/>
        </w:rPr>
      </w:pPr>
    </w:p>
    <w:p w:rsidR="00E65AEE" w:rsidRPr="0031417F" w:rsidRDefault="007D00EE" w:rsidP="007D00EE">
      <w:pPr>
        <w:tabs>
          <w:tab w:val="left" w:pos="1440"/>
        </w:tabs>
        <w:spacing w:line="240" w:lineRule="atLeast"/>
        <w:ind w:left="720" w:hanging="720"/>
        <w:rPr>
          <w:rFonts w:ascii="Arial" w:hAnsi="Arial" w:cs="Arial"/>
          <w:sz w:val="22"/>
          <w:szCs w:val="22"/>
        </w:rPr>
      </w:pPr>
      <w:r>
        <w:rPr>
          <w:rFonts w:ascii="Arial" w:hAnsi="Arial" w:cs="Arial"/>
          <w:sz w:val="22"/>
          <w:szCs w:val="22"/>
        </w:rPr>
        <w:tab/>
        <w:t xml:space="preserve">(004.03) </w:t>
      </w:r>
      <w:r w:rsidR="00BB1268" w:rsidRPr="0031417F">
        <w:rPr>
          <w:rFonts w:ascii="Arial" w:hAnsi="Arial" w:cs="Arial"/>
          <w:sz w:val="22"/>
          <w:szCs w:val="22"/>
        </w:rPr>
        <w:t>The insurer</w:t>
      </w:r>
      <w:r w:rsidR="001D768C" w:rsidRPr="0031417F">
        <w:rPr>
          <w:rFonts w:ascii="Arial" w:hAnsi="Arial" w:cs="Arial"/>
          <w:sz w:val="22"/>
          <w:szCs w:val="22"/>
        </w:rPr>
        <w:t xml:space="preserve"> </w:t>
      </w:r>
      <w:r w:rsidR="001D768C" w:rsidRPr="0031417F">
        <w:rPr>
          <w:rFonts w:ascii="Arial" w:eastAsia="Calibri" w:hAnsi="Arial" w:cs="Arial"/>
          <w:sz w:val="22"/>
          <w:szCs w:val="22"/>
        </w:rPr>
        <w:t>or insurance group</w:t>
      </w:r>
      <w:r w:rsidR="00BB1268" w:rsidRPr="0031417F">
        <w:rPr>
          <w:rFonts w:ascii="Arial" w:hAnsi="Arial" w:cs="Arial"/>
          <w:sz w:val="22"/>
          <w:szCs w:val="22"/>
        </w:rPr>
        <w:t xml:space="preserve"> shall have discretion regarding the appropriate format for providing the information required by </w:t>
      </w:r>
      <w:r w:rsidR="004274AC" w:rsidRPr="0031417F">
        <w:rPr>
          <w:rFonts w:ascii="Arial" w:hAnsi="Arial" w:cs="Arial"/>
          <w:sz w:val="22"/>
          <w:szCs w:val="22"/>
        </w:rPr>
        <w:t>t</w:t>
      </w:r>
      <w:r w:rsidR="0040797F" w:rsidRPr="0031417F">
        <w:rPr>
          <w:rFonts w:ascii="Arial" w:hAnsi="Arial" w:cs="Arial"/>
          <w:sz w:val="22"/>
          <w:szCs w:val="22"/>
        </w:rPr>
        <w:t>hese regulations</w:t>
      </w:r>
      <w:r w:rsidR="00BB1268" w:rsidRPr="0031417F">
        <w:rPr>
          <w:rFonts w:ascii="Arial" w:hAnsi="Arial" w:cs="Arial"/>
          <w:sz w:val="22"/>
          <w:szCs w:val="22"/>
        </w:rPr>
        <w:t xml:space="preserve"> and </w:t>
      </w:r>
      <w:r w:rsidR="0040797F" w:rsidRPr="0031417F">
        <w:rPr>
          <w:rFonts w:ascii="Arial" w:hAnsi="Arial" w:cs="Arial"/>
          <w:sz w:val="22"/>
          <w:szCs w:val="22"/>
        </w:rPr>
        <w:t>is</w:t>
      </w:r>
      <w:r w:rsidR="00BB1268" w:rsidRPr="0031417F">
        <w:rPr>
          <w:rFonts w:ascii="Arial" w:hAnsi="Arial" w:cs="Arial"/>
          <w:sz w:val="22"/>
          <w:szCs w:val="22"/>
        </w:rPr>
        <w:t xml:space="preserve"> permitted to customize the </w:t>
      </w:r>
      <w:r w:rsidR="0040797F" w:rsidRPr="0031417F">
        <w:rPr>
          <w:rFonts w:ascii="Arial" w:hAnsi="Arial" w:cs="Arial"/>
          <w:sz w:val="22"/>
          <w:szCs w:val="22"/>
        </w:rPr>
        <w:t xml:space="preserve">CGAD </w:t>
      </w:r>
      <w:r w:rsidR="00BB1268" w:rsidRPr="0031417F">
        <w:rPr>
          <w:rFonts w:ascii="Arial" w:hAnsi="Arial" w:cs="Arial"/>
          <w:sz w:val="22"/>
          <w:szCs w:val="22"/>
        </w:rPr>
        <w:t xml:space="preserve">to provide the most relevant information necessary to permit the </w:t>
      </w:r>
      <w:r w:rsidR="00F877D3" w:rsidRPr="0031417F">
        <w:rPr>
          <w:rFonts w:ascii="Arial" w:hAnsi="Arial" w:cs="Arial"/>
          <w:sz w:val="22"/>
          <w:szCs w:val="22"/>
        </w:rPr>
        <w:t>Director</w:t>
      </w:r>
      <w:r w:rsidR="00BB1268" w:rsidRPr="0031417F">
        <w:rPr>
          <w:rFonts w:ascii="Arial" w:hAnsi="Arial" w:cs="Arial"/>
          <w:sz w:val="22"/>
          <w:szCs w:val="22"/>
        </w:rPr>
        <w:t xml:space="preserve"> to gain an understanding of the corporate governance structure, policies and practices utilized by the insurer</w:t>
      </w:r>
      <w:r w:rsidR="001D768C" w:rsidRPr="0031417F">
        <w:rPr>
          <w:rFonts w:ascii="Arial" w:hAnsi="Arial" w:cs="Arial"/>
          <w:sz w:val="22"/>
          <w:szCs w:val="22"/>
        </w:rPr>
        <w:t xml:space="preserve"> </w:t>
      </w:r>
      <w:r w:rsidR="001D768C" w:rsidRPr="0031417F">
        <w:rPr>
          <w:rFonts w:ascii="Arial" w:eastAsia="Calibri" w:hAnsi="Arial" w:cs="Arial"/>
          <w:sz w:val="22"/>
          <w:szCs w:val="22"/>
        </w:rPr>
        <w:t>or insurance group</w:t>
      </w:r>
      <w:r w:rsidR="00BB1268" w:rsidRPr="0031417F">
        <w:rPr>
          <w:rFonts w:ascii="Arial" w:hAnsi="Arial" w:cs="Arial"/>
          <w:sz w:val="22"/>
          <w:szCs w:val="22"/>
        </w:rPr>
        <w:t>.</w:t>
      </w:r>
      <w:r w:rsidR="00E76520" w:rsidRPr="0031417F">
        <w:rPr>
          <w:rFonts w:ascii="Arial" w:hAnsi="Arial" w:cs="Arial"/>
          <w:sz w:val="22"/>
          <w:szCs w:val="22"/>
        </w:rPr>
        <w:t xml:space="preserve"> </w:t>
      </w:r>
    </w:p>
    <w:p w:rsidR="00BB1268" w:rsidRPr="0031417F" w:rsidRDefault="00E76520" w:rsidP="007D00EE">
      <w:pPr>
        <w:tabs>
          <w:tab w:val="left" w:pos="1440"/>
        </w:tabs>
        <w:spacing w:line="240" w:lineRule="atLeast"/>
        <w:ind w:left="720" w:hanging="720"/>
        <w:rPr>
          <w:rFonts w:ascii="Arial" w:hAnsi="Arial" w:cs="Arial"/>
          <w:sz w:val="22"/>
          <w:szCs w:val="22"/>
        </w:rPr>
      </w:pPr>
      <w:r w:rsidRPr="0031417F">
        <w:rPr>
          <w:rFonts w:ascii="Arial" w:hAnsi="Arial" w:cs="Arial"/>
          <w:sz w:val="22"/>
          <w:szCs w:val="22"/>
        </w:rPr>
        <w:t xml:space="preserve"> </w:t>
      </w:r>
    </w:p>
    <w:p w:rsidR="00792FD2" w:rsidRPr="0031417F" w:rsidRDefault="007D00EE" w:rsidP="007D00EE">
      <w:pPr>
        <w:tabs>
          <w:tab w:val="right" w:pos="360"/>
        </w:tabs>
        <w:ind w:left="720" w:hanging="720"/>
        <w:rPr>
          <w:rFonts w:ascii="Arial" w:eastAsia="Calibri" w:hAnsi="Arial" w:cs="Arial"/>
          <w:strike/>
          <w:sz w:val="22"/>
          <w:szCs w:val="22"/>
        </w:rPr>
      </w:pPr>
      <w:r>
        <w:rPr>
          <w:rFonts w:ascii="Arial" w:eastAsia="Calibri" w:hAnsi="Arial" w:cs="Arial"/>
          <w:sz w:val="22"/>
          <w:szCs w:val="22"/>
        </w:rPr>
        <w:tab/>
      </w:r>
      <w:r>
        <w:rPr>
          <w:rFonts w:ascii="Arial" w:eastAsia="Calibri" w:hAnsi="Arial" w:cs="Arial"/>
          <w:sz w:val="22"/>
          <w:szCs w:val="22"/>
        </w:rPr>
        <w:tab/>
        <w:t xml:space="preserve">(004.04) </w:t>
      </w:r>
      <w:r w:rsidR="005605E4" w:rsidRPr="0031417F">
        <w:rPr>
          <w:rFonts w:ascii="Arial" w:eastAsia="Calibri" w:hAnsi="Arial" w:cs="Arial"/>
          <w:sz w:val="22"/>
          <w:szCs w:val="22"/>
        </w:rPr>
        <w:t xml:space="preserve">For purposes of completing </w:t>
      </w:r>
      <w:r w:rsidR="0040797F" w:rsidRPr="0031417F">
        <w:rPr>
          <w:rFonts w:ascii="Arial" w:eastAsia="Calibri" w:hAnsi="Arial" w:cs="Arial"/>
          <w:sz w:val="22"/>
          <w:szCs w:val="22"/>
        </w:rPr>
        <w:t>the CGAD</w:t>
      </w:r>
      <w:r w:rsidR="005605E4" w:rsidRPr="0031417F">
        <w:rPr>
          <w:rFonts w:ascii="Arial" w:eastAsia="Calibri" w:hAnsi="Arial" w:cs="Arial"/>
          <w:sz w:val="22"/>
          <w:szCs w:val="22"/>
        </w:rPr>
        <w:t xml:space="preserve">, </w:t>
      </w:r>
      <w:r w:rsidR="003B7E9F" w:rsidRPr="0031417F">
        <w:rPr>
          <w:rFonts w:ascii="Arial" w:eastAsia="Calibri" w:hAnsi="Arial" w:cs="Arial"/>
          <w:sz w:val="22"/>
          <w:szCs w:val="22"/>
        </w:rPr>
        <w:t>the</w:t>
      </w:r>
      <w:r w:rsidR="005605E4" w:rsidRPr="0031417F">
        <w:rPr>
          <w:rFonts w:ascii="Arial" w:eastAsia="Calibri" w:hAnsi="Arial" w:cs="Arial"/>
          <w:sz w:val="22"/>
          <w:szCs w:val="22"/>
        </w:rPr>
        <w:t xml:space="preserve"> insurer</w:t>
      </w:r>
      <w:r w:rsidR="001D768C" w:rsidRPr="0031417F">
        <w:rPr>
          <w:rFonts w:ascii="Arial" w:eastAsia="Calibri" w:hAnsi="Arial" w:cs="Arial"/>
          <w:sz w:val="22"/>
          <w:szCs w:val="22"/>
        </w:rPr>
        <w:t xml:space="preserve"> or insurance group</w:t>
      </w:r>
      <w:r w:rsidR="005605E4" w:rsidRPr="0031417F">
        <w:rPr>
          <w:rFonts w:ascii="Arial" w:eastAsia="Calibri" w:hAnsi="Arial" w:cs="Arial"/>
          <w:sz w:val="22"/>
          <w:szCs w:val="22"/>
        </w:rPr>
        <w:t xml:space="preserve"> may choose to provide information on governance activities that occur at the ultimate controlling parent level, an intermediate holding company level and/or the individual legal entity level</w:t>
      </w:r>
      <w:r w:rsidR="00792FD2" w:rsidRPr="0031417F">
        <w:rPr>
          <w:rFonts w:ascii="Arial" w:eastAsia="Calibri" w:hAnsi="Arial" w:cs="Arial"/>
          <w:sz w:val="22"/>
          <w:szCs w:val="22"/>
        </w:rPr>
        <w:t xml:space="preserve">, </w:t>
      </w:r>
      <w:r w:rsidR="00F1706F" w:rsidRPr="0031417F">
        <w:rPr>
          <w:rFonts w:ascii="Arial" w:hAnsi="Arial" w:cs="Arial"/>
          <w:sz w:val="22"/>
          <w:szCs w:val="22"/>
        </w:rPr>
        <w:t>depending upon how the insurer or insurance group has structured its system of corporate governance</w:t>
      </w:r>
      <w:r w:rsidR="0019333D" w:rsidRPr="0031417F">
        <w:rPr>
          <w:rFonts w:ascii="Arial" w:eastAsia="Calibri" w:hAnsi="Arial" w:cs="Arial"/>
          <w:color w:val="FF0000"/>
          <w:sz w:val="22"/>
          <w:szCs w:val="22"/>
        </w:rPr>
        <w:t>.</w:t>
      </w:r>
      <w:r w:rsidR="00792FD2" w:rsidRPr="0031417F">
        <w:rPr>
          <w:rFonts w:ascii="Arial" w:eastAsia="Calibri" w:hAnsi="Arial" w:cs="Arial"/>
          <w:color w:val="FF0000"/>
          <w:sz w:val="22"/>
          <w:szCs w:val="22"/>
        </w:rPr>
        <w:t xml:space="preserve"> </w:t>
      </w:r>
      <w:r w:rsidR="0019333D" w:rsidRPr="0031417F">
        <w:rPr>
          <w:rFonts w:ascii="Arial" w:eastAsia="Calibri" w:hAnsi="Arial" w:cs="Arial"/>
          <w:color w:val="FF0000"/>
          <w:sz w:val="22"/>
          <w:szCs w:val="22"/>
        </w:rPr>
        <w:t xml:space="preserve"> </w:t>
      </w:r>
      <w:r w:rsidR="005605E4" w:rsidRPr="0031417F">
        <w:rPr>
          <w:rFonts w:ascii="Arial" w:eastAsia="Calibri" w:hAnsi="Arial" w:cs="Arial"/>
          <w:color w:val="FF0000"/>
          <w:sz w:val="22"/>
          <w:szCs w:val="22"/>
        </w:rPr>
        <w:t xml:space="preserve"> </w:t>
      </w:r>
      <w:r w:rsidR="00792FD2" w:rsidRPr="0031417F">
        <w:rPr>
          <w:rFonts w:ascii="Arial" w:hAnsi="Arial" w:cs="Arial"/>
          <w:sz w:val="22"/>
          <w:szCs w:val="22"/>
        </w:rPr>
        <w:t>T</w:t>
      </w:r>
      <w:r w:rsidR="00ED37C2" w:rsidRPr="0031417F">
        <w:rPr>
          <w:rFonts w:ascii="Arial" w:hAnsi="Arial" w:cs="Arial"/>
          <w:sz w:val="22"/>
          <w:szCs w:val="22"/>
        </w:rPr>
        <w:t>he insurer or insurance group is</w:t>
      </w:r>
      <w:r w:rsidR="00792FD2" w:rsidRPr="0031417F">
        <w:rPr>
          <w:rFonts w:ascii="Arial" w:hAnsi="Arial" w:cs="Arial"/>
          <w:sz w:val="22"/>
          <w:szCs w:val="22"/>
        </w:rPr>
        <w:t xml:space="preserve"> encouraged to make the CGA</w:t>
      </w:r>
      <w:r w:rsidR="003B7E9F" w:rsidRPr="0031417F">
        <w:rPr>
          <w:rFonts w:ascii="Arial" w:hAnsi="Arial" w:cs="Arial"/>
          <w:sz w:val="22"/>
          <w:szCs w:val="22"/>
        </w:rPr>
        <w:t>D</w:t>
      </w:r>
      <w:r w:rsidR="00792FD2" w:rsidRPr="0031417F">
        <w:rPr>
          <w:rFonts w:ascii="Arial" w:hAnsi="Arial" w:cs="Arial"/>
          <w:sz w:val="22"/>
          <w:szCs w:val="22"/>
        </w:rPr>
        <w:t xml:space="preserve"> disclosures at the level at which the insurer’s or insurance group’s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w:t>
      </w:r>
      <w:r w:rsidR="00F1706F" w:rsidRPr="0031417F">
        <w:rPr>
          <w:rFonts w:ascii="Arial" w:hAnsi="Arial" w:cs="Arial"/>
          <w:sz w:val="22"/>
          <w:szCs w:val="22"/>
        </w:rPr>
        <w:t>If t</w:t>
      </w:r>
      <w:r w:rsidR="00792FD2" w:rsidRPr="0031417F">
        <w:rPr>
          <w:rFonts w:ascii="Arial" w:hAnsi="Arial" w:cs="Arial"/>
          <w:sz w:val="22"/>
          <w:szCs w:val="22"/>
        </w:rPr>
        <w:t xml:space="preserve">he insurer or insurance group </w:t>
      </w:r>
      <w:r w:rsidR="00F1706F" w:rsidRPr="0031417F">
        <w:rPr>
          <w:rFonts w:ascii="Arial" w:hAnsi="Arial" w:cs="Arial"/>
          <w:sz w:val="22"/>
          <w:szCs w:val="22"/>
        </w:rPr>
        <w:t xml:space="preserve">determines the level of reporting based on these criteria, it </w:t>
      </w:r>
      <w:r w:rsidR="00792FD2" w:rsidRPr="0031417F">
        <w:rPr>
          <w:rFonts w:ascii="Arial" w:hAnsi="Arial" w:cs="Arial"/>
          <w:sz w:val="22"/>
          <w:szCs w:val="22"/>
        </w:rPr>
        <w:t xml:space="preserve">shall indicate which of the three criteria </w:t>
      </w:r>
      <w:r w:rsidR="00F1706F" w:rsidRPr="0031417F">
        <w:rPr>
          <w:rFonts w:ascii="Arial" w:hAnsi="Arial" w:cs="Arial"/>
          <w:sz w:val="22"/>
          <w:szCs w:val="22"/>
        </w:rPr>
        <w:t xml:space="preserve">was </w:t>
      </w:r>
      <w:r w:rsidR="00792FD2" w:rsidRPr="0031417F">
        <w:rPr>
          <w:rFonts w:ascii="Arial" w:hAnsi="Arial" w:cs="Arial"/>
          <w:sz w:val="22"/>
          <w:szCs w:val="22"/>
        </w:rPr>
        <w:t>used to determine the level of reporting</w:t>
      </w:r>
      <w:r w:rsidR="004C3191" w:rsidRPr="0031417F">
        <w:rPr>
          <w:rFonts w:ascii="Arial" w:hAnsi="Arial" w:cs="Arial"/>
          <w:sz w:val="22"/>
          <w:szCs w:val="22"/>
        </w:rPr>
        <w:t xml:space="preserve"> and explain any subsequent changes in level of reporting</w:t>
      </w:r>
      <w:r w:rsidR="00792FD2" w:rsidRPr="0031417F">
        <w:rPr>
          <w:rFonts w:ascii="Arial" w:hAnsi="Arial" w:cs="Arial"/>
          <w:sz w:val="22"/>
          <w:szCs w:val="22"/>
        </w:rPr>
        <w:t>.</w:t>
      </w:r>
    </w:p>
    <w:p w:rsidR="005605E4" w:rsidRPr="0031417F" w:rsidRDefault="005605E4" w:rsidP="007D00EE">
      <w:pPr>
        <w:tabs>
          <w:tab w:val="right" w:pos="360"/>
        </w:tabs>
        <w:rPr>
          <w:rFonts w:ascii="Arial" w:eastAsia="Calibri" w:hAnsi="Arial" w:cs="Arial"/>
          <w:sz w:val="22"/>
          <w:szCs w:val="22"/>
        </w:rPr>
      </w:pPr>
    </w:p>
    <w:p w:rsidR="005605E4" w:rsidRPr="0031417F" w:rsidRDefault="007D00EE" w:rsidP="007D00EE">
      <w:pPr>
        <w:tabs>
          <w:tab w:val="right" w:pos="360"/>
        </w:tabs>
        <w:ind w:left="720" w:hanging="72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(004.05) </w:t>
      </w:r>
      <w:r w:rsidR="00203A15" w:rsidRPr="0031417F">
        <w:rPr>
          <w:rFonts w:ascii="Arial" w:eastAsia="Calibri" w:hAnsi="Arial" w:cs="Arial"/>
          <w:sz w:val="22"/>
          <w:szCs w:val="22"/>
        </w:rPr>
        <w:t xml:space="preserve">Notwithstanding </w:t>
      </w:r>
      <w:r>
        <w:rPr>
          <w:rFonts w:ascii="Arial" w:eastAsia="Calibri" w:hAnsi="Arial" w:cs="Arial"/>
          <w:sz w:val="22"/>
          <w:szCs w:val="22"/>
        </w:rPr>
        <w:t>(004.01)</w:t>
      </w:r>
      <w:r w:rsidR="00203A15" w:rsidRPr="0031417F">
        <w:rPr>
          <w:rFonts w:ascii="Arial" w:eastAsia="Calibri" w:hAnsi="Arial" w:cs="Arial"/>
          <w:sz w:val="22"/>
          <w:szCs w:val="22"/>
        </w:rPr>
        <w:t>, and a</w:t>
      </w:r>
      <w:r w:rsidR="005605E4" w:rsidRPr="0031417F">
        <w:rPr>
          <w:rFonts w:ascii="Arial" w:eastAsia="Calibri" w:hAnsi="Arial" w:cs="Arial"/>
          <w:sz w:val="22"/>
          <w:szCs w:val="22"/>
        </w:rPr>
        <w:t xml:space="preserve">s outlined in </w:t>
      </w:r>
      <w:r w:rsidR="007B5BE6" w:rsidRPr="001F73B9">
        <w:rPr>
          <w:rFonts w:ascii="Arial" w:eastAsia="Calibri" w:hAnsi="Arial" w:cs="Arial"/>
          <w:sz w:val="22"/>
          <w:szCs w:val="22"/>
        </w:rPr>
        <w:t>LB772 § 4</w:t>
      </w:r>
      <w:r w:rsidR="007907D2" w:rsidRPr="001F73B9">
        <w:rPr>
          <w:rFonts w:ascii="Arial" w:eastAsia="Calibri" w:hAnsi="Arial" w:cs="Arial"/>
          <w:sz w:val="22"/>
          <w:szCs w:val="22"/>
        </w:rPr>
        <w:t xml:space="preserve"> (2016)</w:t>
      </w:r>
      <w:r w:rsidR="005605E4" w:rsidRPr="001F73B9">
        <w:rPr>
          <w:rFonts w:ascii="Arial" w:eastAsia="Calibri" w:hAnsi="Arial" w:cs="Arial"/>
          <w:sz w:val="22"/>
          <w:szCs w:val="22"/>
        </w:rPr>
        <w:t>,</w:t>
      </w:r>
      <w:r w:rsidR="005605E4" w:rsidRPr="0031417F">
        <w:rPr>
          <w:rFonts w:ascii="Arial" w:eastAsia="Calibri" w:hAnsi="Arial" w:cs="Arial"/>
          <w:sz w:val="22"/>
          <w:szCs w:val="22"/>
        </w:rPr>
        <w:t xml:space="preserve"> if the </w:t>
      </w:r>
      <w:r w:rsidR="0040797F" w:rsidRPr="0031417F">
        <w:rPr>
          <w:rFonts w:ascii="Arial" w:eastAsia="Calibri" w:hAnsi="Arial" w:cs="Arial"/>
          <w:sz w:val="22"/>
          <w:szCs w:val="22"/>
        </w:rPr>
        <w:t>CGAD</w:t>
      </w:r>
      <w:r w:rsidR="005605E4" w:rsidRPr="0031417F">
        <w:rPr>
          <w:rFonts w:ascii="Arial" w:eastAsia="Calibri" w:hAnsi="Arial" w:cs="Arial"/>
          <w:sz w:val="22"/>
          <w:szCs w:val="22"/>
        </w:rPr>
        <w:t xml:space="preserve"> is completed at </w:t>
      </w:r>
      <w:r w:rsidR="00C11F8B" w:rsidRPr="0031417F">
        <w:rPr>
          <w:rFonts w:ascii="Arial" w:eastAsia="Calibri" w:hAnsi="Arial" w:cs="Arial"/>
          <w:sz w:val="22"/>
          <w:szCs w:val="22"/>
        </w:rPr>
        <w:t>the insurance group</w:t>
      </w:r>
      <w:r w:rsidR="00361BF1" w:rsidRPr="0031417F">
        <w:rPr>
          <w:rFonts w:ascii="Arial" w:eastAsia="Calibri" w:hAnsi="Arial" w:cs="Arial"/>
          <w:sz w:val="22"/>
          <w:szCs w:val="22"/>
        </w:rPr>
        <w:t xml:space="preserve"> </w:t>
      </w:r>
      <w:r w:rsidR="005605E4" w:rsidRPr="0031417F">
        <w:rPr>
          <w:rFonts w:ascii="Arial" w:eastAsia="Calibri" w:hAnsi="Arial" w:cs="Arial"/>
          <w:sz w:val="22"/>
          <w:szCs w:val="22"/>
        </w:rPr>
        <w:t xml:space="preserve">level, </w:t>
      </w:r>
      <w:r w:rsidR="00361BF1" w:rsidRPr="0031417F">
        <w:rPr>
          <w:rFonts w:ascii="Arial" w:eastAsia="Calibri" w:hAnsi="Arial" w:cs="Arial"/>
          <w:sz w:val="22"/>
          <w:szCs w:val="22"/>
        </w:rPr>
        <w:t xml:space="preserve">then </w:t>
      </w:r>
      <w:r w:rsidR="005605E4" w:rsidRPr="0031417F">
        <w:rPr>
          <w:rFonts w:ascii="Arial" w:eastAsia="Calibri" w:hAnsi="Arial" w:cs="Arial"/>
          <w:sz w:val="22"/>
          <w:szCs w:val="22"/>
        </w:rPr>
        <w:t xml:space="preserve">it must be filed with the lead state of the group as determined by the procedures outlined in the most recent Financial Analysis Handbook adopted by the NAIC. In these instances, </w:t>
      </w:r>
      <w:r w:rsidR="0040797F" w:rsidRPr="0031417F">
        <w:rPr>
          <w:rFonts w:ascii="Arial" w:eastAsia="Calibri" w:hAnsi="Arial" w:cs="Arial"/>
          <w:sz w:val="22"/>
          <w:szCs w:val="22"/>
        </w:rPr>
        <w:t xml:space="preserve">a </w:t>
      </w:r>
      <w:r w:rsidR="005605E4" w:rsidRPr="0031417F">
        <w:rPr>
          <w:rFonts w:ascii="Arial" w:eastAsia="Calibri" w:hAnsi="Arial" w:cs="Arial"/>
          <w:sz w:val="22"/>
          <w:szCs w:val="22"/>
        </w:rPr>
        <w:t>cop</w:t>
      </w:r>
      <w:r w:rsidR="0040797F" w:rsidRPr="0031417F">
        <w:rPr>
          <w:rFonts w:ascii="Arial" w:eastAsia="Calibri" w:hAnsi="Arial" w:cs="Arial"/>
          <w:sz w:val="22"/>
          <w:szCs w:val="22"/>
        </w:rPr>
        <w:t>y</w:t>
      </w:r>
      <w:r w:rsidR="005605E4" w:rsidRPr="0031417F">
        <w:rPr>
          <w:rFonts w:ascii="Arial" w:eastAsia="Calibri" w:hAnsi="Arial" w:cs="Arial"/>
          <w:sz w:val="22"/>
          <w:szCs w:val="22"/>
        </w:rPr>
        <w:t xml:space="preserve"> of the </w:t>
      </w:r>
      <w:r w:rsidR="0040797F" w:rsidRPr="0031417F">
        <w:rPr>
          <w:rFonts w:ascii="Arial" w:eastAsia="Calibri" w:hAnsi="Arial" w:cs="Arial"/>
          <w:sz w:val="22"/>
          <w:szCs w:val="22"/>
        </w:rPr>
        <w:t>CGAD</w:t>
      </w:r>
      <w:r w:rsidR="005605E4" w:rsidRPr="0031417F">
        <w:rPr>
          <w:rFonts w:ascii="Arial" w:eastAsia="Calibri" w:hAnsi="Arial" w:cs="Arial"/>
          <w:sz w:val="22"/>
          <w:szCs w:val="22"/>
        </w:rPr>
        <w:t xml:space="preserve"> must also be provided to </w:t>
      </w:r>
      <w:r w:rsidR="00C601F0" w:rsidRPr="0031417F">
        <w:rPr>
          <w:rFonts w:ascii="Arial" w:eastAsia="Calibri" w:hAnsi="Arial" w:cs="Arial"/>
          <w:sz w:val="22"/>
          <w:szCs w:val="22"/>
        </w:rPr>
        <w:t>the chief regulatory official</w:t>
      </w:r>
      <w:r w:rsidR="005605E4" w:rsidRPr="0031417F">
        <w:rPr>
          <w:rFonts w:ascii="Arial" w:eastAsia="Calibri" w:hAnsi="Arial" w:cs="Arial"/>
          <w:sz w:val="22"/>
          <w:szCs w:val="22"/>
        </w:rPr>
        <w:t xml:space="preserve"> of </w:t>
      </w:r>
      <w:r w:rsidR="00C601F0" w:rsidRPr="0031417F">
        <w:rPr>
          <w:rFonts w:ascii="Arial" w:eastAsia="Calibri" w:hAnsi="Arial" w:cs="Arial"/>
          <w:sz w:val="22"/>
          <w:szCs w:val="22"/>
        </w:rPr>
        <w:t xml:space="preserve">any </w:t>
      </w:r>
      <w:r w:rsidR="005605E4" w:rsidRPr="0031417F">
        <w:rPr>
          <w:rFonts w:ascii="Arial" w:eastAsia="Calibri" w:hAnsi="Arial" w:cs="Arial"/>
          <w:sz w:val="22"/>
          <w:szCs w:val="22"/>
        </w:rPr>
        <w:t xml:space="preserve">state in which the </w:t>
      </w:r>
      <w:r w:rsidR="00361BF1" w:rsidRPr="0031417F">
        <w:rPr>
          <w:rFonts w:ascii="Arial" w:eastAsia="Calibri" w:hAnsi="Arial" w:cs="Arial"/>
          <w:sz w:val="22"/>
          <w:szCs w:val="22"/>
        </w:rPr>
        <w:t xml:space="preserve">insurance </w:t>
      </w:r>
      <w:r w:rsidR="005605E4" w:rsidRPr="0031417F">
        <w:rPr>
          <w:rFonts w:ascii="Arial" w:eastAsia="Calibri" w:hAnsi="Arial" w:cs="Arial"/>
          <w:sz w:val="22"/>
          <w:szCs w:val="22"/>
        </w:rPr>
        <w:t>group has a domestic</w:t>
      </w:r>
      <w:r w:rsidR="00361BF1" w:rsidRPr="0031417F">
        <w:rPr>
          <w:rFonts w:ascii="Arial" w:eastAsia="Calibri" w:hAnsi="Arial" w:cs="Arial"/>
          <w:sz w:val="22"/>
          <w:szCs w:val="22"/>
        </w:rPr>
        <w:t xml:space="preserve"> insurer</w:t>
      </w:r>
      <w:r w:rsidR="00F1706F" w:rsidRPr="0031417F">
        <w:rPr>
          <w:rFonts w:ascii="Arial" w:eastAsia="Calibri" w:hAnsi="Arial" w:cs="Arial"/>
          <w:sz w:val="22"/>
          <w:szCs w:val="22"/>
        </w:rPr>
        <w:t>,</w:t>
      </w:r>
      <w:r w:rsidR="005605E4" w:rsidRPr="0031417F">
        <w:rPr>
          <w:rFonts w:ascii="Arial" w:eastAsia="Calibri" w:hAnsi="Arial" w:cs="Arial"/>
          <w:sz w:val="22"/>
          <w:szCs w:val="22"/>
        </w:rPr>
        <w:t xml:space="preserve"> upon request. </w:t>
      </w:r>
    </w:p>
    <w:p w:rsidR="00F1706F" w:rsidRPr="0031417F" w:rsidRDefault="00F1706F" w:rsidP="007D00EE">
      <w:pPr>
        <w:tabs>
          <w:tab w:val="right" w:pos="360"/>
        </w:tabs>
        <w:ind w:left="720" w:hanging="720"/>
        <w:rPr>
          <w:rFonts w:ascii="Arial" w:eastAsia="Calibri" w:hAnsi="Arial" w:cs="Arial"/>
          <w:sz w:val="22"/>
          <w:szCs w:val="22"/>
        </w:rPr>
      </w:pPr>
    </w:p>
    <w:p w:rsidR="005605E4" w:rsidRPr="0031417F" w:rsidRDefault="007D00EE" w:rsidP="007D00EE">
      <w:pPr>
        <w:tabs>
          <w:tab w:val="right" w:pos="360"/>
        </w:tabs>
        <w:ind w:left="720" w:hanging="72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(004.06) </w:t>
      </w:r>
      <w:r w:rsidR="00BC7F6F" w:rsidRPr="0031417F">
        <w:rPr>
          <w:rFonts w:ascii="Arial" w:eastAsia="Calibri" w:hAnsi="Arial" w:cs="Arial"/>
          <w:sz w:val="22"/>
          <w:szCs w:val="22"/>
        </w:rPr>
        <w:t xml:space="preserve">An </w:t>
      </w:r>
      <w:r w:rsidR="0019333D" w:rsidRPr="0031417F">
        <w:rPr>
          <w:rFonts w:ascii="Arial" w:eastAsia="Calibri" w:hAnsi="Arial" w:cs="Arial"/>
          <w:sz w:val="22"/>
          <w:szCs w:val="22"/>
        </w:rPr>
        <w:t>insurer</w:t>
      </w:r>
      <w:r w:rsidR="00ED37C2" w:rsidRPr="0031417F">
        <w:rPr>
          <w:rFonts w:ascii="Arial" w:eastAsia="Calibri" w:hAnsi="Arial" w:cs="Arial"/>
          <w:sz w:val="22"/>
          <w:szCs w:val="22"/>
        </w:rPr>
        <w:t xml:space="preserve"> or insurance group</w:t>
      </w:r>
      <w:r w:rsidR="00ED37C2" w:rsidRPr="0031417F">
        <w:rPr>
          <w:rFonts w:ascii="Arial" w:hAnsi="Arial" w:cs="Arial"/>
          <w:sz w:val="22"/>
          <w:szCs w:val="22"/>
        </w:rPr>
        <w:t xml:space="preserve"> </w:t>
      </w:r>
      <w:r w:rsidR="00AA725B" w:rsidRPr="0031417F">
        <w:rPr>
          <w:rFonts w:ascii="Arial" w:eastAsia="Calibri" w:hAnsi="Arial" w:cs="Arial"/>
          <w:sz w:val="22"/>
          <w:szCs w:val="22"/>
        </w:rPr>
        <w:t>may</w:t>
      </w:r>
      <w:r w:rsidR="00BC7F6F" w:rsidRPr="0031417F">
        <w:rPr>
          <w:rFonts w:ascii="Arial" w:eastAsia="Calibri" w:hAnsi="Arial" w:cs="Arial"/>
          <w:sz w:val="22"/>
          <w:szCs w:val="22"/>
        </w:rPr>
        <w:t xml:space="preserve"> comply with </w:t>
      </w:r>
      <w:r w:rsidR="002118F3" w:rsidRPr="0031417F">
        <w:rPr>
          <w:rFonts w:ascii="Arial" w:eastAsia="Calibri" w:hAnsi="Arial" w:cs="Arial"/>
          <w:sz w:val="22"/>
          <w:szCs w:val="22"/>
        </w:rPr>
        <w:t>this section</w:t>
      </w:r>
      <w:r w:rsidR="00BC7F6F" w:rsidRPr="0031417F">
        <w:rPr>
          <w:rFonts w:ascii="Arial" w:eastAsia="Calibri" w:hAnsi="Arial" w:cs="Arial"/>
          <w:sz w:val="22"/>
          <w:szCs w:val="22"/>
        </w:rPr>
        <w:t xml:space="preserve"> by referencing</w:t>
      </w:r>
      <w:r w:rsidR="00AA725B" w:rsidRPr="0031417F">
        <w:rPr>
          <w:rFonts w:ascii="Arial" w:eastAsia="Calibri" w:hAnsi="Arial" w:cs="Arial"/>
          <w:sz w:val="22"/>
          <w:szCs w:val="22"/>
        </w:rPr>
        <w:t xml:space="preserve"> </w:t>
      </w:r>
      <w:r w:rsidR="005605E4" w:rsidRPr="0031417F">
        <w:rPr>
          <w:rFonts w:ascii="Arial" w:eastAsia="Calibri" w:hAnsi="Arial" w:cs="Arial"/>
          <w:sz w:val="22"/>
          <w:szCs w:val="22"/>
        </w:rPr>
        <w:t xml:space="preserve">other existing documents (e.g., </w:t>
      </w:r>
      <w:r w:rsidR="007907D2" w:rsidRPr="0031417F">
        <w:rPr>
          <w:rFonts w:ascii="Arial" w:eastAsia="Calibri" w:hAnsi="Arial" w:cs="Arial"/>
          <w:sz w:val="22"/>
          <w:szCs w:val="22"/>
        </w:rPr>
        <w:t>own risk solvency assessment s</w:t>
      </w:r>
      <w:r w:rsidR="005605E4" w:rsidRPr="0031417F">
        <w:rPr>
          <w:rFonts w:ascii="Arial" w:eastAsia="Calibri" w:hAnsi="Arial" w:cs="Arial"/>
          <w:sz w:val="22"/>
          <w:szCs w:val="22"/>
        </w:rPr>
        <w:t xml:space="preserve">ummary </w:t>
      </w:r>
      <w:r w:rsidR="007907D2" w:rsidRPr="0031417F">
        <w:rPr>
          <w:rFonts w:ascii="Arial" w:eastAsia="Calibri" w:hAnsi="Arial" w:cs="Arial"/>
          <w:sz w:val="22"/>
          <w:szCs w:val="22"/>
        </w:rPr>
        <w:t>r</w:t>
      </w:r>
      <w:r w:rsidR="005605E4" w:rsidRPr="0031417F">
        <w:rPr>
          <w:rFonts w:ascii="Arial" w:eastAsia="Calibri" w:hAnsi="Arial" w:cs="Arial"/>
          <w:sz w:val="22"/>
          <w:szCs w:val="22"/>
        </w:rPr>
        <w:t>eport, Holding Company Form B or F Filings, Securities and Exchange Commission (SEC) Proxy Statements, foreign regulatory reporting requirements, etc.)</w:t>
      </w:r>
      <w:r w:rsidR="00BC7F6F" w:rsidRPr="0031417F">
        <w:rPr>
          <w:rFonts w:ascii="Arial" w:eastAsia="Calibri" w:hAnsi="Arial" w:cs="Arial"/>
          <w:sz w:val="22"/>
          <w:szCs w:val="22"/>
        </w:rPr>
        <w:t xml:space="preserve"> if the documents provide information that is comparable to the information described in </w:t>
      </w:r>
      <w:r>
        <w:rPr>
          <w:rFonts w:ascii="Arial" w:eastAsia="Calibri" w:hAnsi="Arial" w:cs="Arial"/>
          <w:sz w:val="22"/>
          <w:szCs w:val="22"/>
        </w:rPr>
        <w:t>005</w:t>
      </w:r>
      <w:r w:rsidR="00F1706F" w:rsidRPr="0031417F">
        <w:rPr>
          <w:rFonts w:ascii="Arial" w:eastAsia="Calibri" w:hAnsi="Arial" w:cs="Arial"/>
          <w:sz w:val="22"/>
          <w:szCs w:val="22"/>
        </w:rPr>
        <w:t xml:space="preserve">. </w:t>
      </w:r>
      <w:r w:rsidR="00C601F0" w:rsidRPr="0031417F">
        <w:rPr>
          <w:rFonts w:ascii="Arial" w:eastAsia="Calibri" w:hAnsi="Arial" w:cs="Arial"/>
          <w:sz w:val="22"/>
          <w:szCs w:val="22"/>
        </w:rPr>
        <w:t>T</w:t>
      </w:r>
      <w:r w:rsidR="005605E4" w:rsidRPr="0031417F">
        <w:rPr>
          <w:rFonts w:ascii="Arial" w:eastAsia="Calibri" w:hAnsi="Arial" w:cs="Arial"/>
          <w:sz w:val="22"/>
          <w:szCs w:val="22"/>
        </w:rPr>
        <w:t xml:space="preserve">he </w:t>
      </w:r>
      <w:r w:rsidR="0019333D" w:rsidRPr="0031417F">
        <w:rPr>
          <w:rFonts w:ascii="Arial" w:eastAsia="Calibri" w:hAnsi="Arial" w:cs="Arial"/>
          <w:sz w:val="22"/>
          <w:szCs w:val="22"/>
        </w:rPr>
        <w:t>insurer</w:t>
      </w:r>
      <w:r w:rsidR="00ED37C2" w:rsidRPr="0031417F">
        <w:rPr>
          <w:rFonts w:ascii="Arial" w:eastAsia="Calibri" w:hAnsi="Arial" w:cs="Arial"/>
          <w:sz w:val="22"/>
          <w:szCs w:val="22"/>
        </w:rPr>
        <w:t xml:space="preserve"> or insurance group</w:t>
      </w:r>
      <w:r w:rsidR="0019333D" w:rsidRPr="0031417F">
        <w:rPr>
          <w:rFonts w:ascii="Arial" w:eastAsia="Calibri" w:hAnsi="Arial" w:cs="Arial"/>
          <w:sz w:val="22"/>
          <w:szCs w:val="22"/>
        </w:rPr>
        <w:t xml:space="preserve"> </w:t>
      </w:r>
      <w:r w:rsidR="005605E4" w:rsidRPr="0031417F">
        <w:rPr>
          <w:rFonts w:ascii="Arial" w:eastAsia="Calibri" w:hAnsi="Arial" w:cs="Arial"/>
          <w:sz w:val="22"/>
          <w:szCs w:val="22"/>
        </w:rPr>
        <w:t>sh</w:t>
      </w:r>
      <w:r w:rsidR="00372C22" w:rsidRPr="0031417F">
        <w:rPr>
          <w:rFonts w:ascii="Arial" w:eastAsia="Calibri" w:hAnsi="Arial" w:cs="Arial"/>
          <w:sz w:val="22"/>
          <w:szCs w:val="22"/>
        </w:rPr>
        <w:t>all</w:t>
      </w:r>
      <w:r w:rsidR="005605E4" w:rsidRPr="0031417F">
        <w:rPr>
          <w:rFonts w:ascii="Arial" w:eastAsia="Calibri" w:hAnsi="Arial" w:cs="Arial"/>
          <w:sz w:val="22"/>
          <w:szCs w:val="22"/>
        </w:rPr>
        <w:t xml:space="preserve"> clearly reference the location of the relevant information within the </w:t>
      </w:r>
      <w:r w:rsidR="00C601F0" w:rsidRPr="0031417F">
        <w:rPr>
          <w:rFonts w:ascii="Arial" w:eastAsia="Calibri" w:hAnsi="Arial" w:cs="Arial"/>
          <w:sz w:val="22"/>
          <w:szCs w:val="22"/>
        </w:rPr>
        <w:t>CGAD</w:t>
      </w:r>
      <w:r w:rsidR="005605E4" w:rsidRPr="0031417F">
        <w:rPr>
          <w:rFonts w:ascii="Arial" w:eastAsia="Calibri" w:hAnsi="Arial" w:cs="Arial"/>
          <w:sz w:val="22"/>
          <w:szCs w:val="22"/>
        </w:rPr>
        <w:t xml:space="preserve"> and attach the referenced document if it is not already filed or available to the regulator.</w:t>
      </w:r>
    </w:p>
    <w:p w:rsidR="005605E4" w:rsidRPr="0031417F" w:rsidRDefault="005605E4" w:rsidP="007D00EE">
      <w:pPr>
        <w:tabs>
          <w:tab w:val="right" w:pos="360"/>
        </w:tabs>
        <w:rPr>
          <w:rFonts w:ascii="Arial" w:eastAsia="Calibri" w:hAnsi="Arial" w:cs="Arial"/>
          <w:sz w:val="22"/>
          <w:szCs w:val="22"/>
        </w:rPr>
      </w:pPr>
    </w:p>
    <w:p w:rsidR="005605E4" w:rsidRPr="0031417F" w:rsidRDefault="007D00EE" w:rsidP="007D00EE">
      <w:pPr>
        <w:tabs>
          <w:tab w:val="right" w:pos="360"/>
        </w:tabs>
        <w:ind w:left="720" w:hanging="720"/>
        <w:rPr>
          <w:rFonts w:ascii="Arial" w:eastAsia="Calibri" w:hAnsi="Arial" w:cs="Arial"/>
          <w:sz w:val="22"/>
          <w:szCs w:val="22"/>
        </w:rPr>
      </w:pPr>
      <w:r>
        <w:rPr>
          <w:rFonts w:ascii="Arial" w:eastAsia="Calibri" w:hAnsi="Arial" w:cs="Arial"/>
          <w:bCs/>
          <w:sz w:val="22"/>
          <w:szCs w:val="22"/>
        </w:rPr>
        <w:tab/>
      </w:r>
      <w:r>
        <w:rPr>
          <w:rFonts w:ascii="Arial" w:eastAsia="Calibri" w:hAnsi="Arial" w:cs="Arial"/>
          <w:bCs/>
          <w:sz w:val="22"/>
          <w:szCs w:val="22"/>
        </w:rPr>
        <w:tab/>
        <w:t xml:space="preserve">(004.07) </w:t>
      </w:r>
      <w:r w:rsidR="00C601F0" w:rsidRPr="0031417F">
        <w:rPr>
          <w:rFonts w:ascii="Arial" w:eastAsia="Calibri" w:hAnsi="Arial" w:cs="Arial"/>
          <w:bCs/>
          <w:sz w:val="22"/>
          <w:szCs w:val="22"/>
        </w:rPr>
        <w:t xml:space="preserve">Each year following the initial filing of the CGAD, </w:t>
      </w:r>
      <w:r w:rsidR="00685335" w:rsidRPr="0031417F">
        <w:rPr>
          <w:rFonts w:ascii="Arial" w:eastAsia="Calibri" w:hAnsi="Arial" w:cs="Arial"/>
          <w:bCs/>
          <w:sz w:val="22"/>
          <w:szCs w:val="22"/>
        </w:rPr>
        <w:t>the insurer</w:t>
      </w:r>
      <w:r w:rsidR="00ED37C2" w:rsidRPr="0031417F">
        <w:rPr>
          <w:rFonts w:ascii="Arial" w:eastAsia="Calibri" w:hAnsi="Arial" w:cs="Arial"/>
          <w:bCs/>
          <w:sz w:val="22"/>
          <w:szCs w:val="22"/>
        </w:rPr>
        <w:t xml:space="preserve"> </w:t>
      </w:r>
      <w:r w:rsidR="00ED37C2" w:rsidRPr="0031417F">
        <w:rPr>
          <w:rFonts w:ascii="Arial" w:eastAsia="Calibri" w:hAnsi="Arial" w:cs="Arial"/>
          <w:sz w:val="22"/>
          <w:szCs w:val="22"/>
        </w:rPr>
        <w:t>or insurance group</w:t>
      </w:r>
      <w:r w:rsidR="00685335" w:rsidRPr="0031417F">
        <w:rPr>
          <w:rFonts w:ascii="Arial" w:eastAsia="Calibri" w:hAnsi="Arial" w:cs="Arial"/>
          <w:bCs/>
          <w:sz w:val="22"/>
          <w:szCs w:val="22"/>
        </w:rPr>
        <w:t xml:space="preserve"> </w:t>
      </w:r>
      <w:r w:rsidR="00372C22" w:rsidRPr="0031417F">
        <w:rPr>
          <w:rFonts w:ascii="Arial" w:eastAsia="Calibri" w:hAnsi="Arial" w:cs="Arial"/>
          <w:bCs/>
          <w:sz w:val="22"/>
          <w:szCs w:val="22"/>
        </w:rPr>
        <w:t>shall</w:t>
      </w:r>
      <w:r w:rsidR="005605E4" w:rsidRPr="0031417F">
        <w:rPr>
          <w:rFonts w:ascii="Arial" w:eastAsia="Calibri" w:hAnsi="Arial" w:cs="Arial"/>
          <w:bCs/>
          <w:sz w:val="22"/>
          <w:szCs w:val="22"/>
        </w:rPr>
        <w:t xml:space="preserve"> file </w:t>
      </w:r>
      <w:r w:rsidR="00573D48" w:rsidRPr="0031417F">
        <w:rPr>
          <w:rFonts w:ascii="Arial" w:eastAsia="Calibri" w:hAnsi="Arial" w:cs="Arial"/>
          <w:bCs/>
          <w:sz w:val="22"/>
          <w:szCs w:val="22"/>
        </w:rPr>
        <w:t>an amended version of the previous</w:t>
      </w:r>
      <w:r w:rsidR="00C601F0" w:rsidRPr="0031417F">
        <w:rPr>
          <w:rFonts w:ascii="Arial" w:eastAsia="Calibri" w:hAnsi="Arial" w:cs="Arial"/>
          <w:bCs/>
          <w:sz w:val="22"/>
          <w:szCs w:val="22"/>
        </w:rPr>
        <w:t>ly filed</w:t>
      </w:r>
      <w:r w:rsidR="00573D48" w:rsidRPr="0031417F">
        <w:rPr>
          <w:rFonts w:ascii="Arial" w:eastAsia="Calibri" w:hAnsi="Arial" w:cs="Arial"/>
          <w:bCs/>
          <w:sz w:val="22"/>
          <w:szCs w:val="22"/>
        </w:rPr>
        <w:t xml:space="preserve"> CGA</w:t>
      </w:r>
      <w:r w:rsidR="00C601F0" w:rsidRPr="0031417F">
        <w:rPr>
          <w:rFonts w:ascii="Arial" w:eastAsia="Calibri" w:hAnsi="Arial" w:cs="Arial"/>
          <w:bCs/>
          <w:sz w:val="22"/>
          <w:szCs w:val="22"/>
        </w:rPr>
        <w:t>D</w:t>
      </w:r>
      <w:r w:rsidR="00573D48" w:rsidRPr="0031417F">
        <w:rPr>
          <w:rFonts w:ascii="Arial" w:eastAsia="Calibri" w:hAnsi="Arial" w:cs="Arial"/>
          <w:bCs/>
          <w:sz w:val="22"/>
          <w:szCs w:val="22"/>
        </w:rPr>
        <w:t xml:space="preserve"> indicating where changes have been made</w:t>
      </w:r>
      <w:r w:rsidR="005605E4" w:rsidRPr="0031417F">
        <w:rPr>
          <w:rFonts w:ascii="Arial" w:eastAsia="Calibri" w:hAnsi="Arial" w:cs="Arial"/>
          <w:bCs/>
          <w:sz w:val="22"/>
          <w:szCs w:val="22"/>
        </w:rPr>
        <w:t xml:space="preserve">. If no changes were made in the information or activities reported by the </w:t>
      </w:r>
      <w:r w:rsidR="00685335" w:rsidRPr="0031417F">
        <w:rPr>
          <w:rFonts w:ascii="Arial" w:eastAsia="Calibri" w:hAnsi="Arial" w:cs="Arial"/>
          <w:bCs/>
          <w:sz w:val="22"/>
          <w:szCs w:val="22"/>
        </w:rPr>
        <w:t>insurer</w:t>
      </w:r>
      <w:r w:rsidR="00ED37C2" w:rsidRPr="0031417F">
        <w:rPr>
          <w:rFonts w:ascii="Arial" w:eastAsia="Calibri" w:hAnsi="Arial" w:cs="Arial"/>
          <w:sz w:val="22"/>
          <w:szCs w:val="22"/>
        </w:rPr>
        <w:t xml:space="preserve"> or insurance group</w:t>
      </w:r>
      <w:r w:rsidR="005605E4" w:rsidRPr="0031417F">
        <w:rPr>
          <w:rFonts w:ascii="Arial" w:eastAsia="Calibri" w:hAnsi="Arial" w:cs="Arial"/>
          <w:bCs/>
          <w:sz w:val="22"/>
          <w:szCs w:val="22"/>
        </w:rPr>
        <w:t>, the filing should so state.</w:t>
      </w:r>
    </w:p>
    <w:p w:rsidR="00890D55" w:rsidRDefault="00890D55" w:rsidP="007D00EE">
      <w:pPr>
        <w:spacing w:line="240" w:lineRule="atLeast"/>
        <w:rPr>
          <w:rFonts w:ascii="Arial" w:hAnsi="Arial" w:cs="Arial"/>
          <w:b/>
          <w:sz w:val="22"/>
          <w:szCs w:val="22"/>
        </w:rPr>
      </w:pPr>
    </w:p>
    <w:p w:rsidR="003167E9" w:rsidRPr="0031417F" w:rsidRDefault="007D00EE" w:rsidP="007D00EE">
      <w:pPr>
        <w:overflowPunct/>
        <w:autoSpaceDE/>
        <w:autoSpaceDN/>
        <w:adjustRightInd/>
        <w:textAlignment w:val="auto"/>
        <w:rPr>
          <w:rFonts w:ascii="Arial" w:hAnsi="Arial" w:cs="Arial"/>
          <w:b/>
          <w:sz w:val="22"/>
          <w:szCs w:val="22"/>
        </w:rPr>
      </w:pPr>
      <w:r>
        <w:rPr>
          <w:rFonts w:ascii="Arial" w:hAnsi="Arial" w:cs="Arial"/>
          <w:b/>
          <w:sz w:val="22"/>
          <w:szCs w:val="22"/>
        </w:rPr>
        <w:lastRenderedPageBreak/>
        <w:t>00</w:t>
      </w:r>
      <w:r w:rsidR="00E85190" w:rsidRPr="0031417F">
        <w:rPr>
          <w:rFonts w:ascii="Arial" w:hAnsi="Arial" w:cs="Arial"/>
          <w:b/>
          <w:sz w:val="22"/>
          <w:szCs w:val="22"/>
        </w:rPr>
        <w:t>5</w:t>
      </w:r>
      <w:r w:rsidR="003167E9" w:rsidRPr="0031417F">
        <w:rPr>
          <w:rFonts w:ascii="Arial" w:hAnsi="Arial" w:cs="Arial"/>
          <w:b/>
          <w:sz w:val="22"/>
          <w:szCs w:val="22"/>
        </w:rPr>
        <w:t>.</w:t>
      </w:r>
      <w:r w:rsidR="003167E9" w:rsidRPr="0031417F">
        <w:rPr>
          <w:rFonts w:ascii="Arial" w:hAnsi="Arial" w:cs="Arial"/>
          <w:b/>
          <w:sz w:val="22"/>
          <w:szCs w:val="22"/>
        </w:rPr>
        <w:tab/>
        <w:t xml:space="preserve">Contents of Corporate Governance Annual </w:t>
      </w:r>
      <w:r w:rsidR="009606FF" w:rsidRPr="0031417F">
        <w:rPr>
          <w:rFonts w:ascii="Arial" w:hAnsi="Arial" w:cs="Arial"/>
          <w:b/>
          <w:sz w:val="22"/>
          <w:szCs w:val="22"/>
        </w:rPr>
        <w:t>Disclosure</w:t>
      </w:r>
    </w:p>
    <w:p w:rsidR="008E1E70" w:rsidRPr="0031417F" w:rsidRDefault="008E1E70" w:rsidP="007D00EE">
      <w:pPr>
        <w:rPr>
          <w:rFonts w:ascii="Arial" w:eastAsia="Calibri" w:hAnsi="Arial" w:cs="Arial"/>
          <w:sz w:val="22"/>
          <w:szCs w:val="22"/>
        </w:rPr>
      </w:pPr>
    </w:p>
    <w:p w:rsidR="00FC6CEB" w:rsidRPr="0031417F" w:rsidRDefault="007D00EE" w:rsidP="007D00EE">
      <w:pPr>
        <w:tabs>
          <w:tab w:val="right" w:pos="360"/>
        </w:tabs>
        <w:ind w:left="720" w:hanging="72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(005.01) </w:t>
      </w:r>
      <w:r w:rsidR="00FC6CEB" w:rsidRPr="0031417F">
        <w:rPr>
          <w:rFonts w:ascii="Arial" w:hAnsi="Arial" w:cs="Arial"/>
          <w:sz w:val="22"/>
          <w:szCs w:val="22"/>
        </w:rPr>
        <w:t>The insurer</w:t>
      </w:r>
      <w:r w:rsidR="00ED37C2" w:rsidRPr="0031417F">
        <w:rPr>
          <w:rFonts w:ascii="Arial" w:hAnsi="Arial" w:cs="Arial"/>
          <w:sz w:val="22"/>
          <w:szCs w:val="22"/>
        </w:rPr>
        <w:t xml:space="preserve"> </w:t>
      </w:r>
      <w:r w:rsidR="00ED37C2" w:rsidRPr="0031417F">
        <w:rPr>
          <w:rFonts w:ascii="Arial" w:eastAsia="Calibri" w:hAnsi="Arial" w:cs="Arial"/>
          <w:sz w:val="22"/>
          <w:szCs w:val="22"/>
        </w:rPr>
        <w:t>or insurance group</w:t>
      </w:r>
      <w:r w:rsidR="00FC6CEB" w:rsidRPr="0031417F">
        <w:rPr>
          <w:rFonts w:ascii="Arial" w:hAnsi="Arial" w:cs="Arial"/>
          <w:sz w:val="22"/>
          <w:szCs w:val="22"/>
        </w:rPr>
        <w:t xml:space="preserve"> shall be as descriptive as possible</w:t>
      </w:r>
      <w:r w:rsidR="00874EB4" w:rsidRPr="0031417F">
        <w:rPr>
          <w:rFonts w:ascii="Arial" w:hAnsi="Arial" w:cs="Arial"/>
          <w:sz w:val="22"/>
          <w:szCs w:val="22"/>
        </w:rPr>
        <w:t xml:space="preserve"> in completing the CGAD</w:t>
      </w:r>
      <w:r w:rsidR="00FC6CEB" w:rsidRPr="0031417F">
        <w:rPr>
          <w:rFonts w:ascii="Arial" w:hAnsi="Arial" w:cs="Arial"/>
          <w:sz w:val="22"/>
          <w:szCs w:val="22"/>
        </w:rPr>
        <w:t>, with inclusion of attachments or example documents that are used in the governance process, since these may provide a means to demonstrate the strengths of their governance framework and practices.</w:t>
      </w:r>
    </w:p>
    <w:p w:rsidR="00FC6CEB" w:rsidRPr="0031417F" w:rsidRDefault="00FC6CEB" w:rsidP="007D00EE">
      <w:pPr>
        <w:ind w:left="720" w:hanging="720"/>
        <w:rPr>
          <w:rFonts w:ascii="Arial" w:eastAsia="Calibri" w:hAnsi="Arial" w:cs="Arial"/>
          <w:sz w:val="22"/>
          <w:szCs w:val="22"/>
        </w:rPr>
      </w:pPr>
    </w:p>
    <w:p w:rsidR="00E365E4" w:rsidRPr="0031417F" w:rsidRDefault="007D00EE" w:rsidP="007D00EE">
      <w:pPr>
        <w:ind w:left="720"/>
        <w:rPr>
          <w:rFonts w:ascii="Arial" w:hAnsi="Arial" w:cs="Arial"/>
          <w:sz w:val="22"/>
          <w:szCs w:val="22"/>
        </w:rPr>
      </w:pPr>
      <w:r>
        <w:rPr>
          <w:rFonts w:ascii="Arial" w:eastAsia="Calibri" w:hAnsi="Arial" w:cs="Arial"/>
          <w:sz w:val="22"/>
          <w:szCs w:val="22"/>
        </w:rPr>
        <w:t xml:space="preserve">(005.02) </w:t>
      </w:r>
      <w:r>
        <w:rPr>
          <w:rFonts w:ascii="Arial" w:hAnsi="Arial" w:cs="Arial"/>
          <w:sz w:val="22"/>
          <w:szCs w:val="22"/>
        </w:rPr>
        <w:t xml:space="preserve">The </w:t>
      </w:r>
      <w:r w:rsidR="00E365E4" w:rsidRPr="0031417F">
        <w:rPr>
          <w:rFonts w:ascii="Arial" w:hAnsi="Arial" w:cs="Arial"/>
          <w:sz w:val="22"/>
          <w:szCs w:val="22"/>
        </w:rPr>
        <w:t>CGA</w:t>
      </w:r>
      <w:r w:rsidR="00D572BC" w:rsidRPr="0031417F">
        <w:rPr>
          <w:rFonts w:ascii="Arial" w:hAnsi="Arial" w:cs="Arial"/>
          <w:sz w:val="22"/>
          <w:szCs w:val="22"/>
        </w:rPr>
        <w:t>D</w:t>
      </w:r>
      <w:r w:rsidR="00E365E4" w:rsidRPr="0031417F">
        <w:rPr>
          <w:rFonts w:ascii="Arial" w:hAnsi="Arial" w:cs="Arial"/>
          <w:sz w:val="22"/>
          <w:szCs w:val="22"/>
        </w:rPr>
        <w:t xml:space="preserve"> shall </w:t>
      </w:r>
      <w:r w:rsidR="00F62E04" w:rsidRPr="0031417F">
        <w:rPr>
          <w:rFonts w:ascii="Arial" w:hAnsi="Arial" w:cs="Arial"/>
          <w:sz w:val="22"/>
          <w:szCs w:val="22"/>
        </w:rPr>
        <w:t xml:space="preserve">describe </w:t>
      </w:r>
      <w:r w:rsidR="00E365E4" w:rsidRPr="0031417F">
        <w:rPr>
          <w:rFonts w:ascii="Arial" w:hAnsi="Arial" w:cs="Arial"/>
          <w:sz w:val="22"/>
          <w:szCs w:val="22"/>
        </w:rPr>
        <w:t xml:space="preserve">the insurer’s </w:t>
      </w:r>
      <w:r w:rsidR="00ED37C2" w:rsidRPr="0031417F">
        <w:rPr>
          <w:rFonts w:ascii="Arial" w:eastAsia="Calibri" w:hAnsi="Arial" w:cs="Arial"/>
          <w:sz w:val="22"/>
          <w:szCs w:val="22"/>
        </w:rPr>
        <w:t>or insurance group’s</w:t>
      </w:r>
      <w:r w:rsidR="00ED37C2" w:rsidRPr="0031417F">
        <w:rPr>
          <w:rFonts w:ascii="Arial" w:hAnsi="Arial" w:cs="Arial"/>
          <w:sz w:val="22"/>
          <w:szCs w:val="22"/>
        </w:rPr>
        <w:t xml:space="preserve"> </w:t>
      </w:r>
      <w:r w:rsidR="00E365E4" w:rsidRPr="0031417F">
        <w:rPr>
          <w:rFonts w:ascii="Arial" w:hAnsi="Arial" w:cs="Arial"/>
          <w:sz w:val="22"/>
          <w:szCs w:val="22"/>
        </w:rPr>
        <w:t>corporate governance framework and structure including  consideration  of the following.</w:t>
      </w:r>
    </w:p>
    <w:p w:rsidR="00E365E4" w:rsidRPr="0031417F" w:rsidRDefault="00E365E4" w:rsidP="007D00EE">
      <w:pPr>
        <w:rPr>
          <w:rFonts w:ascii="Arial" w:hAnsi="Arial" w:cs="Arial"/>
          <w:sz w:val="22"/>
          <w:szCs w:val="22"/>
        </w:rPr>
      </w:pPr>
    </w:p>
    <w:p w:rsidR="00E365E4" w:rsidRPr="0031417F" w:rsidRDefault="009F354B" w:rsidP="009F354B">
      <w:pPr>
        <w:ind w:left="1440"/>
        <w:rPr>
          <w:rFonts w:ascii="Arial" w:hAnsi="Arial" w:cs="Arial"/>
          <w:sz w:val="22"/>
          <w:szCs w:val="22"/>
        </w:rPr>
      </w:pPr>
      <w:r>
        <w:rPr>
          <w:rFonts w:ascii="Arial" w:hAnsi="Arial" w:cs="Arial"/>
          <w:sz w:val="22"/>
          <w:szCs w:val="22"/>
        </w:rPr>
        <w:t xml:space="preserve">(005.02(A)) </w:t>
      </w:r>
      <w:r w:rsidR="0071729C" w:rsidRPr="0031417F">
        <w:rPr>
          <w:rFonts w:ascii="Arial" w:hAnsi="Arial" w:cs="Arial"/>
          <w:sz w:val="22"/>
          <w:szCs w:val="22"/>
        </w:rPr>
        <w:t>The B</w:t>
      </w:r>
      <w:r w:rsidR="00E365E4" w:rsidRPr="0031417F">
        <w:rPr>
          <w:rFonts w:ascii="Arial" w:hAnsi="Arial" w:cs="Arial"/>
          <w:sz w:val="22"/>
          <w:szCs w:val="22"/>
        </w:rPr>
        <w:t xml:space="preserve">oard and various committees thereof ultimately responsible for </w:t>
      </w:r>
      <w:r w:rsidR="00F62E04" w:rsidRPr="0031417F">
        <w:rPr>
          <w:rFonts w:ascii="Arial" w:hAnsi="Arial" w:cs="Arial"/>
          <w:sz w:val="22"/>
          <w:szCs w:val="22"/>
        </w:rPr>
        <w:t xml:space="preserve">overseeing </w:t>
      </w:r>
      <w:r w:rsidR="00E365E4" w:rsidRPr="0031417F">
        <w:rPr>
          <w:rFonts w:ascii="Arial" w:hAnsi="Arial" w:cs="Arial"/>
          <w:sz w:val="22"/>
          <w:szCs w:val="22"/>
        </w:rPr>
        <w:t xml:space="preserve">the insurer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E365E4" w:rsidRPr="0031417F">
        <w:rPr>
          <w:rFonts w:ascii="Arial" w:hAnsi="Arial" w:cs="Arial"/>
          <w:sz w:val="22"/>
          <w:szCs w:val="22"/>
        </w:rPr>
        <w:t xml:space="preserve">and the level(s) at which that oversight occurs (e.g., ultimate control level, intermediate holding company, legal entity, etc.).  The insurer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E365E4" w:rsidRPr="0031417F">
        <w:rPr>
          <w:rFonts w:ascii="Arial" w:hAnsi="Arial" w:cs="Arial"/>
          <w:sz w:val="22"/>
          <w:szCs w:val="22"/>
        </w:rPr>
        <w:t>shall describe and discuss</w:t>
      </w:r>
      <w:r w:rsidR="0071729C" w:rsidRPr="0031417F">
        <w:rPr>
          <w:rFonts w:ascii="Arial" w:hAnsi="Arial" w:cs="Arial"/>
          <w:sz w:val="22"/>
          <w:szCs w:val="22"/>
        </w:rPr>
        <w:t xml:space="preserve"> the rationale for the current B</w:t>
      </w:r>
      <w:r w:rsidR="00E365E4" w:rsidRPr="0031417F">
        <w:rPr>
          <w:rFonts w:ascii="Arial" w:hAnsi="Arial" w:cs="Arial"/>
          <w:sz w:val="22"/>
          <w:szCs w:val="22"/>
        </w:rPr>
        <w:t xml:space="preserve">oard size and structure; and  </w:t>
      </w:r>
    </w:p>
    <w:p w:rsidR="00E365E4" w:rsidRPr="0031417F" w:rsidRDefault="00E365E4" w:rsidP="007D00EE">
      <w:pPr>
        <w:rPr>
          <w:rFonts w:ascii="Arial" w:hAnsi="Arial" w:cs="Arial"/>
          <w:sz w:val="22"/>
          <w:szCs w:val="22"/>
        </w:rPr>
      </w:pPr>
    </w:p>
    <w:p w:rsidR="00E365E4" w:rsidRPr="0031417F" w:rsidRDefault="009F354B" w:rsidP="009F354B">
      <w:pPr>
        <w:ind w:left="1440"/>
        <w:rPr>
          <w:rFonts w:ascii="Arial" w:hAnsi="Arial" w:cs="Arial"/>
          <w:sz w:val="22"/>
          <w:szCs w:val="22"/>
        </w:rPr>
      </w:pPr>
      <w:r>
        <w:rPr>
          <w:rFonts w:ascii="Arial" w:hAnsi="Arial" w:cs="Arial"/>
          <w:sz w:val="22"/>
          <w:szCs w:val="22"/>
        </w:rPr>
        <w:t xml:space="preserve">(005.02(B)) </w:t>
      </w:r>
      <w:r w:rsidR="0071729C" w:rsidRPr="0031417F">
        <w:rPr>
          <w:rFonts w:ascii="Arial" w:hAnsi="Arial" w:cs="Arial"/>
          <w:sz w:val="22"/>
          <w:szCs w:val="22"/>
        </w:rPr>
        <w:t>The duties of the B</w:t>
      </w:r>
      <w:r w:rsidR="00E365E4" w:rsidRPr="0031417F">
        <w:rPr>
          <w:rFonts w:ascii="Arial" w:hAnsi="Arial" w:cs="Arial"/>
          <w:sz w:val="22"/>
          <w:szCs w:val="22"/>
        </w:rPr>
        <w:t>oard and each of its significant committees and how they are governed (e.g., bylaws, charters, informal manda</w:t>
      </w:r>
      <w:r w:rsidR="0071729C" w:rsidRPr="0031417F">
        <w:rPr>
          <w:rFonts w:ascii="Arial" w:hAnsi="Arial" w:cs="Arial"/>
          <w:sz w:val="22"/>
          <w:szCs w:val="22"/>
        </w:rPr>
        <w:t>tes, etc.), as well as how the B</w:t>
      </w:r>
      <w:r w:rsidR="00E365E4" w:rsidRPr="0031417F">
        <w:rPr>
          <w:rFonts w:ascii="Arial" w:hAnsi="Arial" w:cs="Arial"/>
          <w:sz w:val="22"/>
          <w:szCs w:val="22"/>
        </w:rPr>
        <w:t>oard’s leadership is structured, including a discussion of the roles of Chief Executive Off</w:t>
      </w:r>
      <w:r w:rsidR="00B8489B" w:rsidRPr="0031417F">
        <w:rPr>
          <w:rFonts w:ascii="Arial" w:hAnsi="Arial" w:cs="Arial"/>
          <w:sz w:val="22"/>
          <w:szCs w:val="22"/>
        </w:rPr>
        <w:t>icer (CEO) and Chairman of the B</w:t>
      </w:r>
      <w:r w:rsidR="00E365E4" w:rsidRPr="0031417F">
        <w:rPr>
          <w:rFonts w:ascii="Arial" w:hAnsi="Arial" w:cs="Arial"/>
          <w:sz w:val="22"/>
          <w:szCs w:val="22"/>
        </w:rPr>
        <w:t>oard within the organization.</w:t>
      </w:r>
    </w:p>
    <w:p w:rsidR="008E1E70" w:rsidRPr="0031417F" w:rsidRDefault="008E1E70" w:rsidP="007D00EE">
      <w:pPr>
        <w:ind w:left="1440" w:hanging="720"/>
        <w:rPr>
          <w:rFonts w:ascii="Arial" w:eastAsia="Calibri" w:hAnsi="Arial" w:cs="Arial"/>
          <w:b/>
          <w:bCs/>
          <w:smallCaps/>
          <w:sz w:val="22"/>
          <w:szCs w:val="22"/>
        </w:rPr>
      </w:pPr>
    </w:p>
    <w:p w:rsidR="003472E5" w:rsidRDefault="009F354B" w:rsidP="007D00EE">
      <w:pPr>
        <w:tabs>
          <w:tab w:val="num" w:pos="1985"/>
        </w:tabs>
        <w:ind w:left="720" w:hanging="720"/>
        <w:rPr>
          <w:rFonts w:ascii="Arial" w:eastAsia="Calibri" w:hAnsi="Arial" w:cs="Arial"/>
          <w:sz w:val="22"/>
          <w:szCs w:val="22"/>
        </w:rPr>
      </w:pPr>
      <w:r>
        <w:rPr>
          <w:rFonts w:ascii="Arial" w:eastAsia="Calibri" w:hAnsi="Arial" w:cs="Arial"/>
          <w:sz w:val="22"/>
          <w:szCs w:val="22"/>
        </w:rPr>
        <w:tab/>
        <w:t xml:space="preserve">(005.03) </w:t>
      </w:r>
      <w:r w:rsidR="00E365E4" w:rsidRPr="0031417F">
        <w:rPr>
          <w:rFonts w:ascii="Arial" w:hAnsi="Arial" w:cs="Arial"/>
          <w:sz w:val="22"/>
          <w:szCs w:val="22"/>
        </w:rPr>
        <w:t>The</w:t>
      </w:r>
      <w:r w:rsidR="00874EB4" w:rsidRPr="0031417F">
        <w:rPr>
          <w:rFonts w:ascii="Arial" w:hAnsi="Arial" w:cs="Arial"/>
          <w:sz w:val="22"/>
          <w:szCs w:val="22"/>
        </w:rPr>
        <w:t xml:space="preserve"> insurer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874EB4" w:rsidRPr="0031417F">
        <w:rPr>
          <w:rFonts w:ascii="Arial" w:hAnsi="Arial" w:cs="Arial"/>
          <w:sz w:val="22"/>
          <w:szCs w:val="22"/>
        </w:rPr>
        <w:t>shall describe the</w:t>
      </w:r>
      <w:r w:rsidR="00E365E4" w:rsidRPr="0031417F">
        <w:rPr>
          <w:rFonts w:ascii="Arial" w:hAnsi="Arial" w:cs="Arial"/>
          <w:sz w:val="22"/>
          <w:szCs w:val="22"/>
        </w:rPr>
        <w:t xml:space="preserve"> policies and practices of the most senior governing entity and significant committees thereof, including a discussion of the following</w:t>
      </w:r>
      <w:r w:rsidR="002B6BA9" w:rsidRPr="0031417F">
        <w:rPr>
          <w:rFonts w:ascii="Arial" w:hAnsi="Arial" w:cs="Arial"/>
          <w:sz w:val="22"/>
          <w:szCs w:val="22"/>
        </w:rPr>
        <w:t xml:space="preserve"> factors</w:t>
      </w:r>
      <w:r w:rsidR="003472E5" w:rsidRPr="0031417F">
        <w:rPr>
          <w:rFonts w:ascii="Arial" w:eastAsia="Calibri" w:hAnsi="Arial" w:cs="Arial"/>
          <w:sz w:val="22"/>
          <w:szCs w:val="22"/>
        </w:rPr>
        <w:t>:</w:t>
      </w:r>
    </w:p>
    <w:p w:rsidR="009F354B" w:rsidRPr="0031417F" w:rsidRDefault="009F354B" w:rsidP="007D00EE">
      <w:pPr>
        <w:tabs>
          <w:tab w:val="num" w:pos="1985"/>
        </w:tabs>
        <w:ind w:left="720" w:hanging="720"/>
        <w:rPr>
          <w:rFonts w:ascii="Arial" w:eastAsia="Calibri" w:hAnsi="Arial" w:cs="Arial"/>
          <w:sz w:val="22"/>
          <w:szCs w:val="22"/>
        </w:rPr>
      </w:pPr>
    </w:p>
    <w:p w:rsidR="00372C22" w:rsidRPr="0031417F" w:rsidRDefault="009F354B" w:rsidP="009F354B">
      <w:pPr>
        <w:ind w:left="1440"/>
        <w:rPr>
          <w:rFonts w:ascii="Arial" w:eastAsia="Calibri" w:hAnsi="Arial" w:cs="Arial"/>
          <w:sz w:val="22"/>
          <w:szCs w:val="22"/>
        </w:rPr>
      </w:pPr>
      <w:r>
        <w:rPr>
          <w:rFonts w:ascii="Arial" w:eastAsia="Calibri" w:hAnsi="Arial" w:cs="Arial"/>
          <w:sz w:val="22"/>
          <w:szCs w:val="22"/>
        </w:rPr>
        <w:t xml:space="preserve">(005.03(A)) </w:t>
      </w:r>
      <w:r w:rsidR="009606FF" w:rsidRPr="0031417F">
        <w:rPr>
          <w:rFonts w:ascii="Arial" w:eastAsia="Calibri" w:hAnsi="Arial" w:cs="Arial"/>
          <w:sz w:val="22"/>
          <w:szCs w:val="22"/>
        </w:rPr>
        <w:t>How t</w:t>
      </w:r>
      <w:r w:rsidR="008E1E70" w:rsidRPr="0031417F">
        <w:rPr>
          <w:rFonts w:ascii="Arial" w:eastAsia="Calibri" w:hAnsi="Arial" w:cs="Arial"/>
          <w:sz w:val="22"/>
          <w:szCs w:val="22"/>
        </w:rPr>
        <w:t>h</w:t>
      </w:r>
      <w:r w:rsidR="00372C22" w:rsidRPr="0031417F">
        <w:rPr>
          <w:rFonts w:ascii="Arial" w:eastAsia="Calibri" w:hAnsi="Arial" w:cs="Arial"/>
          <w:sz w:val="22"/>
          <w:szCs w:val="22"/>
        </w:rPr>
        <w:t>e qualifications, expertise and</w:t>
      </w:r>
      <w:r w:rsidR="003472E5" w:rsidRPr="0031417F">
        <w:rPr>
          <w:rFonts w:ascii="Arial" w:eastAsia="Calibri" w:hAnsi="Arial" w:cs="Arial"/>
          <w:sz w:val="22"/>
          <w:szCs w:val="22"/>
        </w:rPr>
        <w:t xml:space="preserve"> </w:t>
      </w:r>
      <w:r w:rsidR="008E1E70" w:rsidRPr="0031417F">
        <w:rPr>
          <w:rFonts w:ascii="Arial" w:eastAsia="Calibri" w:hAnsi="Arial" w:cs="Arial"/>
          <w:sz w:val="22"/>
          <w:szCs w:val="22"/>
        </w:rPr>
        <w:t xml:space="preserve">experience of </w:t>
      </w:r>
      <w:bookmarkStart w:id="1" w:name="_DV_M290"/>
      <w:bookmarkEnd w:id="1"/>
      <w:r w:rsidR="003C2195" w:rsidRPr="0031417F">
        <w:rPr>
          <w:rFonts w:ascii="Arial" w:eastAsia="Calibri" w:hAnsi="Arial" w:cs="Arial"/>
          <w:sz w:val="22"/>
          <w:szCs w:val="22"/>
        </w:rPr>
        <w:t xml:space="preserve"> </w:t>
      </w:r>
      <w:r w:rsidR="0071729C" w:rsidRPr="0031417F">
        <w:rPr>
          <w:rFonts w:ascii="Arial" w:eastAsia="Calibri" w:hAnsi="Arial" w:cs="Arial"/>
          <w:sz w:val="22"/>
          <w:szCs w:val="22"/>
        </w:rPr>
        <w:t>each B</w:t>
      </w:r>
      <w:r w:rsidR="0067344D" w:rsidRPr="0031417F">
        <w:rPr>
          <w:rFonts w:ascii="Arial" w:eastAsia="Calibri" w:hAnsi="Arial" w:cs="Arial"/>
          <w:sz w:val="22"/>
          <w:szCs w:val="22"/>
        </w:rPr>
        <w:t xml:space="preserve">oard member </w:t>
      </w:r>
      <w:r w:rsidR="00F62E04" w:rsidRPr="0031417F">
        <w:rPr>
          <w:rFonts w:ascii="Arial" w:eastAsia="Calibri" w:hAnsi="Arial" w:cs="Arial"/>
          <w:sz w:val="22"/>
          <w:szCs w:val="22"/>
        </w:rPr>
        <w:t>meet the needs of the insurer or insurance group</w:t>
      </w:r>
      <w:r w:rsidR="008E1E70" w:rsidRPr="0031417F">
        <w:rPr>
          <w:rFonts w:ascii="Arial" w:eastAsia="Calibri" w:hAnsi="Arial" w:cs="Arial"/>
          <w:sz w:val="22"/>
          <w:szCs w:val="22"/>
        </w:rPr>
        <w:t xml:space="preserve">. </w:t>
      </w:r>
    </w:p>
    <w:p w:rsidR="0067344D" w:rsidRPr="0031417F" w:rsidRDefault="0067344D" w:rsidP="007D00EE">
      <w:pPr>
        <w:ind w:left="1800"/>
        <w:rPr>
          <w:rFonts w:ascii="Arial" w:eastAsia="Calibri" w:hAnsi="Arial" w:cs="Arial"/>
          <w:sz w:val="22"/>
          <w:szCs w:val="22"/>
        </w:rPr>
      </w:pPr>
    </w:p>
    <w:p w:rsidR="008E1E70" w:rsidRPr="0031417F" w:rsidRDefault="009F354B" w:rsidP="009F354B">
      <w:pPr>
        <w:ind w:left="1440"/>
        <w:rPr>
          <w:rFonts w:ascii="Arial" w:eastAsia="Calibri" w:hAnsi="Arial" w:cs="Arial"/>
          <w:sz w:val="22"/>
          <w:szCs w:val="22"/>
        </w:rPr>
      </w:pPr>
      <w:r>
        <w:rPr>
          <w:rFonts w:ascii="Arial" w:eastAsia="Calibri" w:hAnsi="Arial" w:cs="Arial"/>
          <w:sz w:val="22"/>
          <w:szCs w:val="22"/>
        </w:rPr>
        <w:t xml:space="preserve">(005.03(B)) </w:t>
      </w:r>
      <w:r w:rsidR="00372C22" w:rsidRPr="0031417F">
        <w:rPr>
          <w:rFonts w:ascii="Arial" w:eastAsia="Calibri" w:hAnsi="Arial" w:cs="Arial"/>
          <w:sz w:val="22"/>
          <w:szCs w:val="22"/>
        </w:rPr>
        <w:t>H</w:t>
      </w:r>
      <w:r w:rsidR="008E1E70" w:rsidRPr="0031417F">
        <w:rPr>
          <w:rFonts w:ascii="Arial" w:eastAsia="Calibri" w:hAnsi="Arial" w:cs="Arial"/>
          <w:sz w:val="22"/>
          <w:szCs w:val="22"/>
        </w:rPr>
        <w:t>ow an appropriate amount of independence is maintained on the Board and its</w:t>
      </w:r>
      <w:r>
        <w:rPr>
          <w:rFonts w:ascii="Arial" w:eastAsia="Calibri" w:hAnsi="Arial" w:cs="Arial"/>
          <w:sz w:val="22"/>
          <w:szCs w:val="22"/>
        </w:rPr>
        <w:t xml:space="preserve"> </w:t>
      </w:r>
      <w:r w:rsidR="008E1E70" w:rsidRPr="0031417F">
        <w:rPr>
          <w:rFonts w:ascii="Arial" w:eastAsia="Calibri" w:hAnsi="Arial" w:cs="Arial"/>
          <w:sz w:val="22"/>
          <w:szCs w:val="22"/>
        </w:rPr>
        <w:t xml:space="preserve">significant committees. </w:t>
      </w:r>
    </w:p>
    <w:p w:rsidR="008E1E70" w:rsidRPr="0031417F" w:rsidRDefault="008E1E70" w:rsidP="007D00EE">
      <w:pPr>
        <w:rPr>
          <w:rFonts w:ascii="Arial" w:eastAsia="Calibri" w:hAnsi="Arial" w:cs="Arial"/>
          <w:sz w:val="22"/>
          <w:szCs w:val="22"/>
        </w:rPr>
      </w:pPr>
    </w:p>
    <w:p w:rsidR="003472E5" w:rsidRPr="0031417F" w:rsidRDefault="009F354B" w:rsidP="009F354B">
      <w:pPr>
        <w:ind w:left="1440"/>
        <w:rPr>
          <w:rFonts w:ascii="Arial" w:eastAsia="Calibri" w:hAnsi="Arial" w:cs="Arial"/>
          <w:sz w:val="22"/>
          <w:szCs w:val="22"/>
        </w:rPr>
      </w:pPr>
      <w:r>
        <w:rPr>
          <w:rFonts w:ascii="Arial" w:eastAsia="Calibri" w:hAnsi="Arial" w:cs="Arial"/>
          <w:sz w:val="22"/>
          <w:szCs w:val="22"/>
        </w:rPr>
        <w:t xml:space="preserve">(005.03(C)) </w:t>
      </w:r>
      <w:r w:rsidR="00372C22" w:rsidRPr="0031417F">
        <w:rPr>
          <w:rFonts w:ascii="Arial" w:eastAsia="Calibri" w:hAnsi="Arial" w:cs="Arial"/>
          <w:sz w:val="22"/>
          <w:szCs w:val="22"/>
        </w:rPr>
        <w:t xml:space="preserve">The </w:t>
      </w:r>
      <w:r w:rsidR="008E1E70" w:rsidRPr="0031417F">
        <w:rPr>
          <w:rFonts w:ascii="Arial" w:eastAsia="Calibri" w:hAnsi="Arial" w:cs="Arial"/>
          <w:sz w:val="22"/>
          <w:szCs w:val="22"/>
        </w:rPr>
        <w:t>number of meetings held by the Board and its significant committees over the past year</w:t>
      </w:r>
      <w:r w:rsidR="00D47167" w:rsidRPr="0031417F">
        <w:rPr>
          <w:rFonts w:ascii="Arial" w:eastAsia="Calibri" w:hAnsi="Arial" w:cs="Arial"/>
          <w:sz w:val="22"/>
          <w:szCs w:val="22"/>
        </w:rPr>
        <w:t xml:space="preserve"> as well as</w:t>
      </w:r>
      <w:r w:rsidR="008E1E70" w:rsidRPr="0031417F">
        <w:rPr>
          <w:rFonts w:ascii="Arial" w:eastAsia="Calibri" w:hAnsi="Arial" w:cs="Arial"/>
          <w:sz w:val="22"/>
          <w:szCs w:val="22"/>
        </w:rPr>
        <w:t xml:space="preserve"> information on director attendance</w:t>
      </w:r>
      <w:r w:rsidR="00372C22" w:rsidRPr="0031417F">
        <w:rPr>
          <w:rFonts w:ascii="Arial" w:eastAsia="Calibri" w:hAnsi="Arial" w:cs="Arial"/>
          <w:sz w:val="22"/>
          <w:szCs w:val="22"/>
        </w:rPr>
        <w:t>.</w:t>
      </w:r>
    </w:p>
    <w:p w:rsidR="003472E5" w:rsidRPr="0031417F" w:rsidRDefault="003472E5" w:rsidP="007D00EE">
      <w:pPr>
        <w:tabs>
          <w:tab w:val="num" w:pos="1985"/>
        </w:tabs>
        <w:ind w:left="720" w:hanging="720"/>
        <w:rPr>
          <w:rFonts w:ascii="Arial" w:eastAsia="Calibri" w:hAnsi="Arial" w:cs="Arial"/>
          <w:sz w:val="22"/>
          <w:szCs w:val="22"/>
        </w:rPr>
      </w:pPr>
    </w:p>
    <w:p w:rsidR="00034D53" w:rsidRPr="0031417F" w:rsidRDefault="009F354B" w:rsidP="009F354B">
      <w:pPr>
        <w:ind w:left="1440"/>
        <w:rPr>
          <w:rFonts w:ascii="Arial" w:eastAsia="Calibri" w:hAnsi="Arial" w:cs="Arial"/>
          <w:sz w:val="22"/>
          <w:szCs w:val="22"/>
        </w:rPr>
      </w:pPr>
      <w:r>
        <w:rPr>
          <w:rFonts w:ascii="Arial" w:eastAsia="Calibri" w:hAnsi="Arial" w:cs="Arial"/>
          <w:sz w:val="22"/>
          <w:szCs w:val="22"/>
        </w:rPr>
        <w:t xml:space="preserve">(005.03(D)) </w:t>
      </w:r>
      <w:r w:rsidR="00034D53" w:rsidRPr="0031417F">
        <w:rPr>
          <w:rFonts w:ascii="Arial" w:eastAsia="Calibri" w:hAnsi="Arial" w:cs="Arial"/>
          <w:sz w:val="22"/>
          <w:szCs w:val="22"/>
        </w:rPr>
        <w:t xml:space="preserve">How the </w:t>
      </w:r>
      <w:r w:rsidR="00F23F47" w:rsidRPr="0031417F">
        <w:rPr>
          <w:rFonts w:ascii="Arial" w:eastAsia="Calibri" w:hAnsi="Arial" w:cs="Arial"/>
          <w:sz w:val="22"/>
          <w:szCs w:val="22"/>
        </w:rPr>
        <w:t xml:space="preserve">insurer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034D53" w:rsidRPr="0031417F">
        <w:rPr>
          <w:rFonts w:ascii="Arial" w:eastAsia="Calibri" w:hAnsi="Arial" w:cs="Arial"/>
          <w:sz w:val="22"/>
          <w:szCs w:val="22"/>
        </w:rPr>
        <w:t>identifies</w:t>
      </w:r>
      <w:r w:rsidR="008E1E70" w:rsidRPr="0031417F">
        <w:rPr>
          <w:rFonts w:ascii="Arial" w:eastAsia="Calibri" w:hAnsi="Arial" w:cs="Arial"/>
          <w:sz w:val="22"/>
          <w:szCs w:val="22"/>
        </w:rPr>
        <w:t>, nominate</w:t>
      </w:r>
      <w:r w:rsidR="00034D53" w:rsidRPr="0031417F">
        <w:rPr>
          <w:rFonts w:ascii="Arial" w:eastAsia="Calibri" w:hAnsi="Arial" w:cs="Arial"/>
          <w:sz w:val="22"/>
          <w:szCs w:val="22"/>
        </w:rPr>
        <w:t>s</w:t>
      </w:r>
      <w:r w:rsidR="008E1E70" w:rsidRPr="0031417F">
        <w:rPr>
          <w:rFonts w:ascii="Arial" w:eastAsia="Calibri" w:hAnsi="Arial" w:cs="Arial"/>
          <w:sz w:val="22"/>
          <w:szCs w:val="22"/>
        </w:rPr>
        <w:t xml:space="preserve"> and elect</w:t>
      </w:r>
      <w:r w:rsidR="00034D53" w:rsidRPr="0031417F">
        <w:rPr>
          <w:rFonts w:ascii="Arial" w:eastAsia="Calibri" w:hAnsi="Arial" w:cs="Arial"/>
          <w:sz w:val="22"/>
          <w:szCs w:val="22"/>
        </w:rPr>
        <w:t>s</w:t>
      </w:r>
      <w:r w:rsidR="008E1E70" w:rsidRPr="0031417F">
        <w:rPr>
          <w:rFonts w:ascii="Arial" w:eastAsia="Calibri" w:hAnsi="Arial" w:cs="Arial"/>
          <w:sz w:val="22"/>
          <w:szCs w:val="22"/>
        </w:rPr>
        <w:t xml:space="preserve"> members to the Board and its committees</w:t>
      </w:r>
      <w:r w:rsidR="003167E9" w:rsidRPr="0031417F">
        <w:rPr>
          <w:rFonts w:ascii="Arial" w:eastAsia="Calibri" w:hAnsi="Arial" w:cs="Arial"/>
          <w:sz w:val="22"/>
          <w:szCs w:val="22"/>
        </w:rPr>
        <w:t>.  The discussion</w:t>
      </w:r>
      <w:r w:rsidR="00AE2C35" w:rsidRPr="0031417F">
        <w:rPr>
          <w:rFonts w:ascii="Arial" w:eastAsia="Calibri" w:hAnsi="Arial" w:cs="Arial"/>
          <w:sz w:val="22"/>
          <w:szCs w:val="22"/>
        </w:rPr>
        <w:t xml:space="preserve"> should include</w:t>
      </w:r>
      <w:r w:rsidR="00820B78" w:rsidRPr="0031417F">
        <w:rPr>
          <w:rFonts w:ascii="Arial" w:eastAsia="Calibri" w:hAnsi="Arial" w:cs="Arial"/>
          <w:sz w:val="22"/>
          <w:szCs w:val="22"/>
        </w:rPr>
        <w:t>,</w:t>
      </w:r>
      <w:r w:rsidR="00AE2C35" w:rsidRPr="0031417F">
        <w:rPr>
          <w:rFonts w:ascii="Arial" w:eastAsia="Calibri" w:hAnsi="Arial" w:cs="Arial"/>
          <w:sz w:val="22"/>
          <w:szCs w:val="22"/>
        </w:rPr>
        <w:t xml:space="preserve"> for example</w:t>
      </w:r>
      <w:r w:rsidR="003167E9" w:rsidRPr="0031417F">
        <w:rPr>
          <w:rFonts w:ascii="Arial" w:eastAsia="Calibri" w:hAnsi="Arial" w:cs="Arial"/>
          <w:sz w:val="22"/>
          <w:szCs w:val="22"/>
        </w:rPr>
        <w:t>:</w:t>
      </w:r>
      <w:r w:rsidR="008E1E70" w:rsidRPr="0031417F">
        <w:rPr>
          <w:rFonts w:ascii="Arial" w:eastAsia="Calibri" w:hAnsi="Arial" w:cs="Arial"/>
          <w:sz w:val="22"/>
          <w:szCs w:val="22"/>
        </w:rPr>
        <w:t xml:space="preserve"> </w:t>
      </w:r>
    </w:p>
    <w:p w:rsidR="00034D53" w:rsidRPr="0031417F" w:rsidRDefault="00034D53" w:rsidP="007D00EE">
      <w:pPr>
        <w:ind w:left="1800"/>
        <w:rPr>
          <w:rFonts w:ascii="Arial" w:eastAsia="Calibri" w:hAnsi="Arial" w:cs="Arial"/>
          <w:sz w:val="22"/>
          <w:szCs w:val="22"/>
        </w:rPr>
      </w:pPr>
    </w:p>
    <w:p w:rsidR="00034D53" w:rsidRPr="0031417F" w:rsidRDefault="009F354B" w:rsidP="009F354B">
      <w:pPr>
        <w:ind w:left="1440" w:firstLine="720"/>
        <w:rPr>
          <w:rFonts w:ascii="Arial" w:eastAsia="Calibri" w:hAnsi="Arial" w:cs="Arial"/>
          <w:sz w:val="22"/>
          <w:szCs w:val="22"/>
        </w:rPr>
      </w:pPr>
      <w:r>
        <w:rPr>
          <w:rFonts w:ascii="Arial" w:eastAsia="Calibri" w:hAnsi="Arial" w:cs="Arial"/>
          <w:sz w:val="22"/>
          <w:szCs w:val="22"/>
        </w:rPr>
        <w:t xml:space="preserve">(005.03(D)(1)) </w:t>
      </w:r>
      <w:r w:rsidR="008E1E70" w:rsidRPr="0031417F">
        <w:rPr>
          <w:rFonts w:ascii="Arial" w:eastAsia="Calibri" w:hAnsi="Arial" w:cs="Arial"/>
          <w:sz w:val="22"/>
          <w:szCs w:val="22"/>
        </w:rPr>
        <w:t xml:space="preserve">Whether a nomination committee is in place to identify and </w:t>
      </w:r>
      <w:r>
        <w:rPr>
          <w:rFonts w:ascii="Arial" w:eastAsia="Calibri" w:hAnsi="Arial" w:cs="Arial"/>
          <w:sz w:val="22"/>
          <w:szCs w:val="22"/>
        </w:rPr>
        <w:tab/>
      </w:r>
      <w:r w:rsidR="008E1E70" w:rsidRPr="0031417F">
        <w:rPr>
          <w:rFonts w:ascii="Arial" w:eastAsia="Calibri" w:hAnsi="Arial" w:cs="Arial"/>
          <w:sz w:val="22"/>
          <w:szCs w:val="22"/>
        </w:rPr>
        <w:t xml:space="preserve">select individuals </w:t>
      </w:r>
      <w:r w:rsidR="00E85190" w:rsidRPr="0031417F">
        <w:rPr>
          <w:rFonts w:ascii="Arial" w:eastAsia="Calibri" w:hAnsi="Arial" w:cs="Arial"/>
          <w:sz w:val="22"/>
          <w:szCs w:val="22"/>
        </w:rPr>
        <w:t>f</w:t>
      </w:r>
      <w:r w:rsidR="008E1E70" w:rsidRPr="0031417F">
        <w:rPr>
          <w:rFonts w:ascii="Arial" w:eastAsia="Calibri" w:hAnsi="Arial" w:cs="Arial"/>
          <w:sz w:val="22"/>
          <w:szCs w:val="22"/>
        </w:rPr>
        <w:t>or consideration.</w:t>
      </w:r>
    </w:p>
    <w:p w:rsidR="00DE3BAF" w:rsidRPr="0031417F" w:rsidRDefault="00DE3BAF" w:rsidP="007D00EE">
      <w:pPr>
        <w:ind w:left="1800"/>
        <w:rPr>
          <w:rFonts w:ascii="Arial" w:eastAsia="Calibri" w:hAnsi="Arial" w:cs="Arial"/>
          <w:sz w:val="22"/>
          <w:szCs w:val="22"/>
        </w:rPr>
      </w:pPr>
    </w:p>
    <w:p w:rsidR="00034D53" w:rsidRPr="0031417F" w:rsidRDefault="009F354B" w:rsidP="009F354B">
      <w:pPr>
        <w:ind w:left="1440" w:firstLine="720"/>
        <w:rPr>
          <w:rFonts w:ascii="Arial" w:eastAsia="Calibri" w:hAnsi="Arial" w:cs="Arial"/>
          <w:sz w:val="22"/>
          <w:szCs w:val="22"/>
        </w:rPr>
      </w:pPr>
      <w:r>
        <w:rPr>
          <w:rFonts w:ascii="Arial" w:eastAsia="Calibri" w:hAnsi="Arial" w:cs="Arial"/>
          <w:sz w:val="22"/>
          <w:szCs w:val="22"/>
        </w:rPr>
        <w:t xml:space="preserve">(005.03(D)(2)) </w:t>
      </w:r>
      <w:r w:rsidR="008E1E70" w:rsidRPr="0031417F">
        <w:rPr>
          <w:rFonts w:ascii="Arial" w:eastAsia="Calibri" w:hAnsi="Arial" w:cs="Arial"/>
          <w:sz w:val="22"/>
          <w:szCs w:val="22"/>
        </w:rPr>
        <w:t>Whether term limits are placed on directors.</w:t>
      </w:r>
    </w:p>
    <w:p w:rsidR="00DE3BAF" w:rsidRPr="0031417F" w:rsidRDefault="00DE3BAF" w:rsidP="007D00EE">
      <w:pPr>
        <w:ind w:left="1800"/>
        <w:rPr>
          <w:rFonts w:ascii="Arial" w:eastAsia="Calibri" w:hAnsi="Arial" w:cs="Arial"/>
          <w:sz w:val="22"/>
          <w:szCs w:val="22"/>
        </w:rPr>
      </w:pPr>
    </w:p>
    <w:p w:rsidR="00034D53" w:rsidRPr="0031417F" w:rsidRDefault="009F354B" w:rsidP="009F354B">
      <w:pPr>
        <w:ind w:left="1440" w:firstLine="720"/>
        <w:rPr>
          <w:rFonts w:ascii="Arial" w:eastAsia="Calibri" w:hAnsi="Arial" w:cs="Arial"/>
          <w:sz w:val="22"/>
          <w:szCs w:val="22"/>
        </w:rPr>
      </w:pPr>
      <w:r>
        <w:rPr>
          <w:rFonts w:ascii="Arial" w:eastAsia="Calibri" w:hAnsi="Arial" w:cs="Arial"/>
          <w:sz w:val="22"/>
          <w:szCs w:val="22"/>
        </w:rPr>
        <w:t xml:space="preserve">(005.03(D)(3)) </w:t>
      </w:r>
      <w:r w:rsidR="008E1E70" w:rsidRPr="0031417F">
        <w:rPr>
          <w:rFonts w:ascii="Arial" w:eastAsia="Calibri" w:hAnsi="Arial" w:cs="Arial"/>
          <w:sz w:val="22"/>
          <w:szCs w:val="22"/>
        </w:rPr>
        <w:t>How the election and re-election processes function.</w:t>
      </w:r>
    </w:p>
    <w:p w:rsidR="00DE3BAF" w:rsidRPr="0031417F" w:rsidRDefault="00DE3BAF" w:rsidP="007D00EE">
      <w:pPr>
        <w:ind w:left="1800"/>
        <w:rPr>
          <w:rFonts w:ascii="Arial" w:eastAsia="Calibri" w:hAnsi="Arial" w:cs="Arial"/>
          <w:sz w:val="22"/>
          <w:szCs w:val="22"/>
        </w:rPr>
      </w:pPr>
    </w:p>
    <w:p w:rsidR="008E1E70" w:rsidRPr="0031417F" w:rsidRDefault="009F354B" w:rsidP="009F354B">
      <w:pPr>
        <w:ind w:left="1800" w:firstLine="360"/>
        <w:rPr>
          <w:rFonts w:ascii="Arial" w:eastAsia="Calibri" w:hAnsi="Arial" w:cs="Arial"/>
          <w:sz w:val="22"/>
          <w:szCs w:val="22"/>
        </w:rPr>
      </w:pPr>
      <w:r>
        <w:rPr>
          <w:rFonts w:ascii="Arial" w:eastAsia="Calibri" w:hAnsi="Arial" w:cs="Arial"/>
          <w:sz w:val="22"/>
          <w:szCs w:val="22"/>
        </w:rPr>
        <w:t xml:space="preserve">(005.03(D)(4)) </w:t>
      </w:r>
      <w:r w:rsidR="008E1E70" w:rsidRPr="0031417F">
        <w:rPr>
          <w:rFonts w:ascii="Arial" w:eastAsia="Calibri" w:hAnsi="Arial" w:cs="Arial"/>
          <w:sz w:val="22"/>
          <w:szCs w:val="22"/>
        </w:rPr>
        <w:t>Whether a Board diversity policy is in place and</w:t>
      </w:r>
      <w:r w:rsidR="00AE2C35" w:rsidRPr="0031417F">
        <w:rPr>
          <w:rFonts w:ascii="Arial" w:eastAsia="Calibri" w:hAnsi="Arial" w:cs="Arial"/>
          <w:sz w:val="22"/>
          <w:szCs w:val="22"/>
        </w:rPr>
        <w:t xml:space="preserve"> if so,</w:t>
      </w:r>
      <w:r w:rsidR="008E1E70" w:rsidRPr="0031417F">
        <w:rPr>
          <w:rFonts w:ascii="Arial" w:eastAsia="Calibri" w:hAnsi="Arial" w:cs="Arial"/>
          <w:sz w:val="22"/>
          <w:szCs w:val="22"/>
        </w:rPr>
        <w:t xml:space="preserve"> how </w:t>
      </w:r>
      <w:r>
        <w:rPr>
          <w:rFonts w:ascii="Arial" w:eastAsia="Calibri" w:hAnsi="Arial" w:cs="Arial"/>
          <w:sz w:val="22"/>
          <w:szCs w:val="22"/>
        </w:rPr>
        <w:tab/>
      </w:r>
      <w:r w:rsidR="008E1E70" w:rsidRPr="0031417F">
        <w:rPr>
          <w:rFonts w:ascii="Arial" w:eastAsia="Calibri" w:hAnsi="Arial" w:cs="Arial"/>
          <w:sz w:val="22"/>
          <w:szCs w:val="22"/>
        </w:rPr>
        <w:t xml:space="preserve">it functions. </w:t>
      </w:r>
    </w:p>
    <w:p w:rsidR="008E1E70" w:rsidRPr="0031417F" w:rsidRDefault="008E1E70" w:rsidP="007D00EE">
      <w:pPr>
        <w:rPr>
          <w:rFonts w:ascii="Arial" w:eastAsia="Calibri" w:hAnsi="Arial" w:cs="Arial"/>
          <w:sz w:val="22"/>
          <w:szCs w:val="22"/>
        </w:rPr>
      </w:pPr>
    </w:p>
    <w:p w:rsidR="008E1E70" w:rsidRPr="0031417F" w:rsidRDefault="009F354B" w:rsidP="009F354B">
      <w:pPr>
        <w:ind w:left="720" w:firstLine="720"/>
        <w:rPr>
          <w:rFonts w:ascii="Arial" w:eastAsia="Calibri" w:hAnsi="Arial" w:cs="Arial"/>
          <w:sz w:val="22"/>
          <w:szCs w:val="22"/>
        </w:rPr>
      </w:pPr>
      <w:r>
        <w:rPr>
          <w:rFonts w:ascii="Arial" w:eastAsia="Calibri" w:hAnsi="Arial" w:cs="Arial"/>
          <w:sz w:val="22"/>
          <w:szCs w:val="22"/>
        </w:rPr>
        <w:t xml:space="preserve">(005.03(E)) </w:t>
      </w:r>
      <w:r w:rsidR="00034D53" w:rsidRPr="0031417F">
        <w:rPr>
          <w:rFonts w:ascii="Arial" w:eastAsia="Calibri" w:hAnsi="Arial" w:cs="Arial"/>
          <w:sz w:val="22"/>
          <w:szCs w:val="22"/>
        </w:rPr>
        <w:t>T</w:t>
      </w:r>
      <w:r w:rsidR="008E1E70" w:rsidRPr="0031417F">
        <w:rPr>
          <w:rFonts w:ascii="Arial" w:eastAsia="Calibri" w:hAnsi="Arial" w:cs="Arial"/>
          <w:sz w:val="22"/>
          <w:szCs w:val="22"/>
        </w:rPr>
        <w:t xml:space="preserve">he processes in place for the Board to evaluate its performance </w:t>
      </w:r>
      <w:r>
        <w:rPr>
          <w:rFonts w:ascii="Arial" w:eastAsia="Calibri" w:hAnsi="Arial" w:cs="Arial"/>
          <w:sz w:val="22"/>
          <w:szCs w:val="22"/>
        </w:rPr>
        <w:tab/>
      </w:r>
      <w:r w:rsidR="008E1E70" w:rsidRPr="0031417F">
        <w:rPr>
          <w:rFonts w:ascii="Arial" w:eastAsia="Calibri" w:hAnsi="Arial" w:cs="Arial"/>
          <w:sz w:val="22"/>
          <w:szCs w:val="22"/>
        </w:rPr>
        <w:t xml:space="preserve">and the performance of its committees, as well as any recent measures taken to </w:t>
      </w:r>
      <w:r>
        <w:rPr>
          <w:rFonts w:ascii="Arial" w:eastAsia="Calibri" w:hAnsi="Arial" w:cs="Arial"/>
          <w:sz w:val="22"/>
          <w:szCs w:val="22"/>
        </w:rPr>
        <w:tab/>
      </w:r>
      <w:r w:rsidR="008E1E70" w:rsidRPr="0031417F">
        <w:rPr>
          <w:rFonts w:ascii="Arial" w:eastAsia="Calibri" w:hAnsi="Arial" w:cs="Arial"/>
          <w:sz w:val="22"/>
          <w:szCs w:val="22"/>
        </w:rPr>
        <w:t>improve performance</w:t>
      </w:r>
      <w:r w:rsidR="00952D9D" w:rsidRPr="0031417F">
        <w:rPr>
          <w:rFonts w:ascii="Arial" w:eastAsia="Calibri" w:hAnsi="Arial" w:cs="Arial"/>
          <w:sz w:val="22"/>
          <w:szCs w:val="22"/>
        </w:rPr>
        <w:t xml:space="preserve"> (including </w:t>
      </w:r>
      <w:bookmarkStart w:id="2" w:name="_DV_M291"/>
      <w:bookmarkEnd w:id="2"/>
      <w:r w:rsidR="008E1E70" w:rsidRPr="0031417F">
        <w:rPr>
          <w:rFonts w:ascii="Arial" w:eastAsia="Calibri" w:hAnsi="Arial" w:cs="Arial"/>
          <w:sz w:val="22"/>
          <w:szCs w:val="22"/>
        </w:rPr>
        <w:t xml:space="preserve">any Board or committee training programs that </w:t>
      </w:r>
      <w:r>
        <w:rPr>
          <w:rFonts w:ascii="Arial" w:eastAsia="Calibri" w:hAnsi="Arial" w:cs="Arial"/>
          <w:sz w:val="22"/>
          <w:szCs w:val="22"/>
        </w:rPr>
        <w:tab/>
      </w:r>
      <w:r w:rsidR="008E1E70" w:rsidRPr="0031417F">
        <w:rPr>
          <w:rFonts w:ascii="Arial" w:eastAsia="Calibri" w:hAnsi="Arial" w:cs="Arial"/>
          <w:sz w:val="22"/>
          <w:szCs w:val="22"/>
        </w:rPr>
        <w:t>have been put in place</w:t>
      </w:r>
      <w:r w:rsidR="00952D9D" w:rsidRPr="0031417F">
        <w:rPr>
          <w:rFonts w:ascii="Arial" w:eastAsia="Calibri" w:hAnsi="Arial" w:cs="Arial"/>
          <w:sz w:val="22"/>
          <w:szCs w:val="22"/>
        </w:rPr>
        <w:t>)</w:t>
      </w:r>
      <w:r w:rsidR="008E1E70" w:rsidRPr="0031417F">
        <w:rPr>
          <w:rFonts w:ascii="Arial" w:eastAsia="Calibri" w:hAnsi="Arial" w:cs="Arial"/>
          <w:sz w:val="22"/>
          <w:szCs w:val="22"/>
        </w:rPr>
        <w:t>.</w:t>
      </w:r>
    </w:p>
    <w:p w:rsidR="007474D9" w:rsidRPr="0031417F" w:rsidRDefault="007474D9" w:rsidP="007D00EE">
      <w:pPr>
        <w:ind w:left="720" w:hanging="720"/>
        <w:rPr>
          <w:rFonts w:ascii="Arial" w:eastAsia="Calibri" w:hAnsi="Arial" w:cs="Arial"/>
          <w:sz w:val="22"/>
          <w:szCs w:val="22"/>
        </w:rPr>
      </w:pPr>
    </w:p>
    <w:p w:rsidR="00763497" w:rsidRPr="0031417F" w:rsidRDefault="009F354B" w:rsidP="007D00EE">
      <w:pPr>
        <w:tabs>
          <w:tab w:val="num" w:pos="1985"/>
        </w:tabs>
        <w:ind w:left="720" w:hanging="720"/>
        <w:rPr>
          <w:rFonts w:ascii="Arial" w:eastAsia="Calibri" w:hAnsi="Arial" w:cs="Arial"/>
          <w:sz w:val="22"/>
          <w:szCs w:val="22"/>
        </w:rPr>
      </w:pPr>
      <w:r>
        <w:rPr>
          <w:rFonts w:ascii="Arial" w:eastAsia="Calibri" w:hAnsi="Arial" w:cs="Arial"/>
          <w:sz w:val="22"/>
          <w:szCs w:val="22"/>
        </w:rPr>
        <w:tab/>
        <w:t xml:space="preserve">(005.04) </w:t>
      </w:r>
      <w:r w:rsidR="00952D9D" w:rsidRPr="0031417F">
        <w:rPr>
          <w:rFonts w:ascii="Arial" w:eastAsia="Calibri" w:hAnsi="Arial" w:cs="Arial"/>
          <w:sz w:val="22"/>
          <w:szCs w:val="22"/>
        </w:rPr>
        <w:t xml:space="preserve">The insurer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952D9D" w:rsidRPr="0031417F">
        <w:rPr>
          <w:rFonts w:ascii="Arial" w:eastAsia="Calibri" w:hAnsi="Arial" w:cs="Arial"/>
          <w:sz w:val="22"/>
          <w:szCs w:val="22"/>
        </w:rPr>
        <w:t>shall describe</w:t>
      </w:r>
      <w:r w:rsidR="008E1E70" w:rsidRPr="0031417F">
        <w:rPr>
          <w:rFonts w:ascii="Arial" w:eastAsia="Calibri" w:hAnsi="Arial" w:cs="Arial"/>
          <w:sz w:val="22"/>
          <w:szCs w:val="22"/>
        </w:rPr>
        <w:t xml:space="preserve"> </w:t>
      </w:r>
      <w:r w:rsidR="00763497" w:rsidRPr="0031417F">
        <w:rPr>
          <w:rFonts w:ascii="Arial" w:eastAsia="Calibri" w:hAnsi="Arial" w:cs="Arial"/>
          <w:sz w:val="22"/>
          <w:szCs w:val="22"/>
        </w:rPr>
        <w:t xml:space="preserve">the policies and practices </w:t>
      </w:r>
      <w:r w:rsidR="00714C62" w:rsidRPr="0031417F">
        <w:rPr>
          <w:rFonts w:ascii="Arial" w:eastAsia="Calibri" w:hAnsi="Arial" w:cs="Arial"/>
          <w:sz w:val="22"/>
          <w:szCs w:val="22"/>
        </w:rPr>
        <w:t xml:space="preserve">for </w:t>
      </w:r>
      <w:r w:rsidR="00A6665E" w:rsidRPr="0031417F">
        <w:rPr>
          <w:rFonts w:ascii="Arial" w:eastAsia="Calibri" w:hAnsi="Arial" w:cs="Arial"/>
          <w:sz w:val="22"/>
          <w:szCs w:val="22"/>
        </w:rPr>
        <w:t>directing</w:t>
      </w:r>
      <w:r w:rsidR="00763497" w:rsidRPr="0031417F">
        <w:rPr>
          <w:rFonts w:ascii="Arial" w:eastAsia="Calibri" w:hAnsi="Arial" w:cs="Arial"/>
          <w:sz w:val="22"/>
          <w:szCs w:val="22"/>
        </w:rPr>
        <w:t xml:space="preserve"> Senior Management, including a description of the following</w:t>
      </w:r>
      <w:r w:rsidR="00684CB7" w:rsidRPr="0031417F">
        <w:rPr>
          <w:rFonts w:ascii="Arial" w:eastAsia="Calibri" w:hAnsi="Arial" w:cs="Arial"/>
          <w:sz w:val="22"/>
          <w:szCs w:val="22"/>
        </w:rPr>
        <w:t xml:space="preserve"> factors</w:t>
      </w:r>
      <w:r w:rsidR="00763497" w:rsidRPr="0031417F">
        <w:rPr>
          <w:rFonts w:ascii="Arial" w:eastAsia="Calibri" w:hAnsi="Arial" w:cs="Arial"/>
          <w:sz w:val="22"/>
          <w:szCs w:val="22"/>
        </w:rPr>
        <w:t>:</w:t>
      </w:r>
    </w:p>
    <w:p w:rsidR="003167E9" w:rsidRPr="0031417F" w:rsidRDefault="003167E9" w:rsidP="007D00EE">
      <w:pPr>
        <w:tabs>
          <w:tab w:val="num" w:pos="1985"/>
        </w:tabs>
        <w:ind w:left="720" w:hanging="720"/>
        <w:rPr>
          <w:rFonts w:ascii="Arial" w:eastAsia="Calibri" w:hAnsi="Arial" w:cs="Arial"/>
          <w:sz w:val="22"/>
          <w:szCs w:val="22"/>
        </w:rPr>
      </w:pPr>
    </w:p>
    <w:p w:rsidR="00763497" w:rsidRPr="0031417F" w:rsidRDefault="009F354B" w:rsidP="009F354B">
      <w:pPr>
        <w:ind w:left="1440"/>
        <w:rPr>
          <w:rFonts w:ascii="Arial" w:eastAsia="Calibri" w:hAnsi="Arial" w:cs="Arial"/>
          <w:sz w:val="22"/>
          <w:szCs w:val="22"/>
        </w:rPr>
      </w:pPr>
      <w:r>
        <w:rPr>
          <w:rFonts w:ascii="Arial" w:eastAsia="Calibri" w:hAnsi="Arial" w:cs="Arial"/>
          <w:sz w:val="22"/>
          <w:szCs w:val="22"/>
        </w:rPr>
        <w:t xml:space="preserve">(005.04(A)) </w:t>
      </w:r>
      <w:r w:rsidR="00763497" w:rsidRPr="0031417F">
        <w:rPr>
          <w:rFonts w:ascii="Arial" w:eastAsia="Calibri" w:hAnsi="Arial" w:cs="Arial"/>
          <w:sz w:val="22"/>
          <w:szCs w:val="22"/>
        </w:rPr>
        <w:t>Any processes or practices (i.e., suitability standards) to determine whether officers and key persons in control functions have the appropriate background, experience and integrity to fulfill their prospective roles, including:</w:t>
      </w:r>
    </w:p>
    <w:p w:rsidR="00763497" w:rsidRPr="0031417F" w:rsidRDefault="00763497" w:rsidP="007D00EE">
      <w:pPr>
        <w:ind w:left="1440"/>
        <w:rPr>
          <w:rFonts w:ascii="Arial" w:eastAsia="Calibri" w:hAnsi="Arial" w:cs="Arial"/>
          <w:sz w:val="22"/>
          <w:szCs w:val="22"/>
        </w:rPr>
      </w:pPr>
    </w:p>
    <w:p w:rsidR="00763497" w:rsidRPr="0031417F" w:rsidRDefault="009F354B" w:rsidP="009F354B">
      <w:pPr>
        <w:ind w:left="1440" w:firstLine="720"/>
        <w:rPr>
          <w:rFonts w:ascii="Arial" w:eastAsia="Calibri" w:hAnsi="Arial" w:cs="Arial"/>
          <w:sz w:val="22"/>
          <w:szCs w:val="22"/>
        </w:rPr>
      </w:pPr>
      <w:r>
        <w:rPr>
          <w:rFonts w:ascii="Arial" w:eastAsia="Calibri" w:hAnsi="Arial" w:cs="Arial"/>
          <w:sz w:val="22"/>
          <w:szCs w:val="22"/>
        </w:rPr>
        <w:t xml:space="preserve">(005.04(A)(1)) </w:t>
      </w:r>
      <w:r w:rsidR="00714C62" w:rsidRPr="0031417F">
        <w:rPr>
          <w:rFonts w:ascii="Arial" w:eastAsia="Calibri" w:hAnsi="Arial" w:cs="Arial"/>
          <w:sz w:val="22"/>
          <w:szCs w:val="22"/>
        </w:rPr>
        <w:t xml:space="preserve">Identification of the </w:t>
      </w:r>
      <w:r w:rsidR="008E1E70" w:rsidRPr="0031417F">
        <w:rPr>
          <w:rFonts w:ascii="Arial" w:eastAsia="Calibri" w:hAnsi="Arial" w:cs="Arial"/>
          <w:sz w:val="22"/>
          <w:szCs w:val="22"/>
        </w:rPr>
        <w:t xml:space="preserve">specific positions </w:t>
      </w:r>
      <w:r w:rsidR="00714C62" w:rsidRPr="0031417F">
        <w:rPr>
          <w:rFonts w:ascii="Arial" w:eastAsia="Calibri" w:hAnsi="Arial" w:cs="Arial"/>
          <w:sz w:val="22"/>
          <w:szCs w:val="22"/>
        </w:rPr>
        <w:t>for which</w:t>
      </w:r>
      <w:r w:rsidR="008E1E70" w:rsidRPr="0031417F">
        <w:rPr>
          <w:rFonts w:ascii="Arial" w:eastAsia="Calibri" w:hAnsi="Arial" w:cs="Arial"/>
          <w:sz w:val="22"/>
          <w:szCs w:val="22"/>
        </w:rPr>
        <w:t xml:space="preserve"> suitability </w:t>
      </w:r>
      <w:r>
        <w:rPr>
          <w:rFonts w:ascii="Arial" w:eastAsia="Calibri" w:hAnsi="Arial" w:cs="Arial"/>
          <w:sz w:val="22"/>
          <w:szCs w:val="22"/>
        </w:rPr>
        <w:tab/>
      </w:r>
      <w:r w:rsidR="008E1E70" w:rsidRPr="0031417F">
        <w:rPr>
          <w:rFonts w:ascii="Arial" w:eastAsia="Calibri" w:hAnsi="Arial" w:cs="Arial"/>
          <w:sz w:val="22"/>
          <w:szCs w:val="22"/>
        </w:rPr>
        <w:t xml:space="preserve">standards </w:t>
      </w:r>
      <w:r w:rsidR="0087759C" w:rsidRPr="0031417F">
        <w:rPr>
          <w:rFonts w:ascii="Arial" w:eastAsia="Calibri" w:hAnsi="Arial" w:cs="Arial"/>
          <w:sz w:val="22"/>
          <w:szCs w:val="22"/>
        </w:rPr>
        <w:t xml:space="preserve">have been developed </w:t>
      </w:r>
      <w:r w:rsidR="008E1E70" w:rsidRPr="0031417F">
        <w:rPr>
          <w:rFonts w:ascii="Arial" w:eastAsia="Calibri" w:hAnsi="Arial" w:cs="Arial"/>
          <w:sz w:val="22"/>
          <w:szCs w:val="22"/>
        </w:rPr>
        <w:t xml:space="preserve">and a description of the standards </w:t>
      </w:r>
      <w:r>
        <w:rPr>
          <w:rFonts w:ascii="Arial" w:eastAsia="Calibri" w:hAnsi="Arial" w:cs="Arial"/>
          <w:sz w:val="22"/>
          <w:szCs w:val="22"/>
        </w:rPr>
        <w:tab/>
      </w:r>
      <w:r w:rsidR="008E1E70" w:rsidRPr="0031417F">
        <w:rPr>
          <w:rFonts w:ascii="Arial" w:eastAsia="Calibri" w:hAnsi="Arial" w:cs="Arial"/>
          <w:sz w:val="22"/>
          <w:szCs w:val="22"/>
        </w:rPr>
        <w:t xml:space="preserve">employed. </w:t>
      </w:r>
    </w:p>
    <w:p w:rsidR="00426679" w:rsidRPr="0031417F" w:rsidRDefault="00426679" w:rsidP="007D00EE">
      <w:pPr>
        <w:ind w:left="1800"/>
        <w:rPr>
          <w:rFonts w:ascii="Arial" w:eastAsia="Calibri" w:hAnsi="Arial" w:cs="Arial"/>
          <w:sz w:val="22"/>
          <w:szCs w:val="22"/>
        </w:rPr>
      </w:pPr>
    </w:p>
    <w:p w:rsidR="008E1E70" w:rsidRPr="0031417F" w:rsidRDefault="009F354B" w:rsidP="009F354B">
      <w:pPr>
        <w:ind w:left="1800" w:firstLine="360"/>
        <w:rPr>
          <w:rFonts w:ascii="Arial" w:eastAsia="Calibri" w:hAnsi="Arial" w:cs="Arial"/>
          <w:sz w:val="22"/>
          <w:szCs w:val="22"/>
        </w:rPr>
      </w:pPr>
      <w:r>
        <w:rPr>
          <w:rFonts w:ascii="Arial" w:eastAsia="Calibri" w:hAnsi="Arial" w:cs="Arial"/>
          <w:sz w:val="22"/>
          <w:szCs w:val="22"/>
        </w:rPr>
        <w:t xml:space="preserve">(005.04(A)(2) </w:t>
      </w:r>
      <w:r w:rsidR="00372C22" w:rsidRPr="0031417F">
        <w:rPr>
          <w:rFonts w:ascii="Arial" w:eastAsia="Calibri" w:hAnsi="Arial" w:cs="Arial"/>
          <w:sz w:val="22"/>
          <w:szCs w:val="22"/>
        </w:rPr>
        <w:t>A</w:t>
      </w:r>
      <w:r w:rsidR="008E1E70" w:rsidRPr="0031417F">
        <w:rPr>
          <w:rFonts w:ascii="Arial" w:eastAsia="Calibri" w:hAnsi="Arial" w:cs="Arial"/>
          <w:sz w:val="22"/>
          <w:szCs w:val="22"/>
        </w:rPr>
        <w:t xml:space="preserve">ny changes in an officer’s or key person’s suitability as </w:t>
      </w:r>
      <w:r>
        <w:rPr>
          <w:rFonts w:ascii="Arial" w:eastAsia="Calibri" w:hAnsi="Arial" w:cs="Arial"/>
          <w:sz w:val="22"/>
          <w:szCs w:val="22"/>
        </w:rPr>
        <w:tab/>
      </w:r>
      <w:r w:rsidR="008E1E70" w:rsidRPr="0031417F">
        <w:rPr>
          <w:rFonts w:ascii="Arial" w:eastAsia="Calibri" w:hAnsi="Arial" w:cs="Arial"/>
          <w:sz w:val="22"/>
          <w:szCs w:val="22"/>
        </w:rPr>
        <w:t xml:space="preserve">outlined by the </w:t>
      </w:r>
      <w:r w:rsidR="00372C22" w:rsidRPr="0031417F">
        <w:rPr>
          <w:rFonts w:ascii="Arial" w:eastAsia="Calibri" w:hAnsi="Arial" w:cs="Arial"/>
          <w:sz w:val="22"/>
          <w:szCs w:val="22"/>
        </w:rPr>
        <w:t>insurer</w:t>
      </w:r>
      <w:r w:rsidR="008E1E70" w:rsidRPr="0031417F">
        <w:rPr>
          <w:rFonts w:ascii="Arial" w:eastAsia="Calibri" w:hAnsi="Arial" w:cs="Arial"/>
          <w:sz w:val="22"/>
          <w:szCs w:val="22"/>
        </w:rPr>
        <w:t>’s</w:t>
      </w:r>
      <w:r w:rsidR="00ED37C2" w:rsidRPr="0031417F">
        <w:rPr>
          <w:rFonts w:ascii="Arial" w:eastAsia="Calibri" w:hAnsi="Arial" w:cs="Arial"/>
          <w:sz w:val="22"/>
          <w:szCs w:val="22"/>
        </w:rPr>
        <w:t xml:space="preserve"> or insurance group’s</w:t>
      </w:r>
      <w:r w:rsidR="008E1E70" w:rsidRPr="0031417F">
        <w:rPr>
          <w:rFonts w:ascii="Arial" w:eastAsia="Calibri" w:hAnsi="Arial" w:cs="Arial"/>
          <w:sz w:val="22"/>
          <w:szCs w:val="22"/>
        </w:rPr>
        <w:t xml:space="preserve"> standards</w:t>
      </w:r>
      <w:r w:rsidR="00AE01F2" w:rsidRPr="0031417F">
        <w:rPr>
          <w:rFonts w:ascii="Arial" w:eastAsia="Calibri" w:hAnsi="Arial" w:cs="Arial"/>
          <w:sz w:val="22"/>
          <w:szCs w:val="22"/>
        </w:rPr>
        <w:t xml:space="preserve"> and procedures </w:t>
      </w:r>
      <w:r>
        <w:rPr>
          <w:rFonts w:ascii="Arial" w:eastAsia="Calibri" w:hAnsi="Arial" w:cs="Arial"/>
          <w:sz w:val="22"/>
          <w:szCs w:val="22"/>
        </w:rPr>
        <w:tab/>
      </w:r>
      <w:r w:rsidR="00AE01F2" w:rsidRPr="0031417F">
        <w:rPr>
          <w:rFonts w:ascii="Arial" w:eastAsia="Calibri" w:hAnsi="Arial" w:cs="Arial"/>
          <w:sz w:val="22"/>
          <w:szCs w:val="22"/>
        </w:rPr>
        <w:t>to monitor and evaluate such changes</w:t>
      </w:r>
      <w:r w:rsidR="008E1E70" w:rsidRPr="0031417F">
        <w:rPr>
          <w:rFonts w:ascii="Arial" w:eastAsia="Calibri" w:hAnsi="Arial" w:cs="Arial"/>
          <w:sz w:val="22"/>
          <w:szCs w:val="22"/>
        </w:rPr>
        <w:t xml:space="preserve">. </w:t>
      </w:r>
    </w:p>
    <w:p w:rsidR="00495A29" w:rsidRPr="0031417F" w:rsidRDefault="00495A29" w:rsidP="007D00EE">
      <w:pPr>
        <w:tabs>
          <w:tab w:val="num" w:pos="1985"/>
        </w:tabs>
        <w:rPr>
          <w:rFonts w:ascii="Arial" w:eastAsia="Calibri" w:hAnsi="Arial" w:cs="Arial"/>
          <w:sz w:val="22"/>
          <w:szCs w:val="22"/>
        </w:rPr>
      </w:pPr>
    </w:p>
    <w:p w:rsidR="0067344D" w:rsidRPr="0031417F" w:rsidRDefault="009F354B" w:rsidP="009F354B">
      <w:pPr>
        <w:ind w:left="1440"/>
        <w:rPr>
          <w:rFonts w:ascii="Arial" w:eastAsia="Calibri" w:hAnsi="Arial" w:cs="Arial"/>
          <w:sz w:val="22"/>
          <w:szCs w:val="22"/>
        </w:rPr>
      </w:pPr>
      <w:r>
        <w:rPr>
          <w:rFonts w:ascii="Arial" w:eastAsia="Calibri" w:hAnsi="Arial" w:cs="Arial"/>
          <w:sz w:val="22"/>
          <w:szCs w:val="22"/>
        </w:rPr>
        <w:t xml:space="preserve">(005.04(B)) </w:t>
      </w:r>
      <w:r w:rsidR="0067344D" w:rsidRPr="0031417F">
        <w:rPr>
          <w:rFonts w:ascii="Arial" w:eastAsia="Calibri" w:hAnsi="Arial" w:cs="Arial"/>
          <w:sz w:val="22"/>
          <w:szCs w:val="22"/>
        </w:rPr>
        <w:t>The insurer’s</w:t>
      </w:r>
      <w:r w:rsidR="00ED37C2" w:rsidRPr="0031417F">
        <w:rPr>
          <w:rFonts w:ascii="Arial" w:eastAsia="Calibri" w:hAnsi="Arial" w:cs="Arial"/>
          <w:sz w:val="22"/>
          <w:szCs w:val="22"/>
        </w:rPr>
        <w:t xml:space="preserve"> or insurance group’s</w:t>
      </w:r>
      <w:r w:rsidR="0067344D" w:rsidRPr="0031417F">
        <w:rPr>
          <w:rFonts w:ascii="Arial" w:eastAsia="Calibri" w:hAnsi="Arial" w:cs="Arial"/>
          <w:sz w:val="22"/>
          <w:szCs w:val="22"/>
        </w:rPr>
        <w:t xml:space="preserve"> code of business conduct and ethics</w:t>
      </w:r>
      <w:r w:rsidR="00E33ED0" w:rsidRPr="0031417F">
        <w:rPr>
          <w:rFonts w:ascii="Arial" w:eastAsia="Calibri" w:hAnsi="Arial" w:cs="Arial"/>
          <w:sz w:val="22"/>
          <w:szCs w:val="22"/>
        </w:rPr>
        <w:t>, the discussion of which considers, for example</w:t>
      </w:r>
      <w:r w:rsidR="0067344D" w:rsidRPr="0031417F">
        <w:rPr>
          <w:rFonts w:ascii="Arial" w:eastAsia="Calibri" w:hAnsi="Arial" w:cs="Arial"/>
          <w:sz w:val="22"/>
          <w:szCs w:val="22"/>
        </w:rPr>
        <w:t>:</w:t>
      </w:r>
    </w:p>
    <w:p w:rsidR="00684CB7" w:rsidRPr="0031417F" w:rsidRDefault="00684CB7" w:rsidP="007D00EE">
      <w:pPr>
        <w:ind w:left="1440"/>
        <w:rPr>
          <w:rFonts w:ascii="Arial" w:eastAsia="Calibri" w:hAnsi="Arial" w:cs="Arial"/>
          <w:sz w:val="22"/>
          <w:szCs w:val="22"/>
        </w:rPr>
      </w:pPr>
    </w:p>
    <w:p w:rsidR="0067344D" w:rsidRPr="0031417F" w:rsidRDefault="009F354B" w:rsidP="009F354B">
      <w:pPr>
        <w:pStyle w:val="ListParagraph"/>
        <w:tabs>
          <w:tab w:val="left" w:pos="1800"/>
        </w:tabs>
        <w:ind w:left="1440"/>
        <w:rPr>
          <w:rFonts w:ascii="Arial" w:eastAsia="Calibri" w:hAnsi="Arial" w:cs="Arial"/>
        </w:rPr>
      </w:pPr>
      <w:r>
        <w:rPr>
          <w:rFonts w:ascii="Arial" w:eastAsia="Calibri" w:hAnsi="Arial" w:cs="Arial"/>
        </w:rPr>
        <w:tab/>
      </w:r>
      <w:r>
        <w:rPr>
          <w:rFonts w:ascii="Arial" w:eastAsia="Calibri" w:hAnsi="Arial" w:cs="Arial"/>
        </w:rPr>
        <w:tab/>
        <w:t xml:space="preserve">(005.04(B)(1)) </w:t>
      </w:r>
      <w:r w:rsidR="0067344D" w:rsidRPr="0031417F">
        <w:rPr>
          <w:rFonts w:ascii="Arial" w:eastAsia="Calibri" w:hAnsi="Arial" w:cs="Arial"/>
        </w:rPr>
        <w:t>compliance with laws, rules, and regulations; and</w:t>
      </w:r>
    </w:p>
    <w:p w:rsidR="00BF5BE4" w:rsidRPr="0031417F" w:rsidRDefault="00BF5BE4" w:rsidP="007D00EE">
      <w:pPr>
        <w:pStyle w:val="ListParagraph"/>
        <w:tabs>
          <w:tab w:val="left" w:pos="1800"/>
        </w:tabs>
        <w:ind w:left="1440"/>
        <w:rPr>
          <w:rFonts w:ascii="Arial" w:eastAsia="Calibri" w:hAnsi="Arial" w:cs="Arial"/>
        </w:rPr>
      </w:pPr>
    </w:p>
    <w:p w:rsidR="00124E68" w:rsidRPr="0031417F" w:rsidRDefault="009F354B" w:rsidP="009F354B">
      <w:pPr>
        <w:pStyle w:val="ListParagraph"/>
        <w:tabs>
          <w:tab w:val="left" w:pos="1800"/>
        </w:tabs>
        <w:ind w:left="1440"/>
        <w:rPr>
          <w:rFonts w:ascii="Arial" w:eastAsia="Calibri" w:hAnsi="Arial" w:cs="Arial"/>
        </w:rPr>
      </w:pPr>
      <w:r>
        <w:rPr>
          <w:rFonts w:ascii="Arial" w:eastAsia="Calibri" w:hAnsi="Arial" w:cs="Arial"/>
        </w:rPr>
        <w:tab/>
      </w:r>
      <w:r>
        <w:rPr>
          <w:rFonts w:ascii="Arial" w:eastAsia="Calibri" w:hAnsi="Arial" w:cs="Arial"/>
        </w:rPr>
        <w:tab/>
        <w:t xml:space="preserve">(005.04(B)(2)) </w:t>
      </w:r>
      <w:r w:rsidR="00124E68" w:rsidRPr="0031417F">
        <w:rPr>
          <w:rFonts w:ascii="Arial" w:eastAsia="Calibri" w:hAnsi="Arial" w:cs="Arial"/>
        </w:rPr>
        <w:t xml:space="preserve">proactive reporting of any illegal or unethical behavior.  </w:t>
      </w:r>
    </w:p>
    <w:p w:rsidR="00763497" w:rsidRPr="0031417F" w:rsidRDefault="00894FC2" w:rsidP="00894FC2">
      <w:pPr>
        <w:ind w:left="1440"/>
        <w:rPr>
          <w:rFonts w:ascii="Arial" w:eastAsia="Calibri" w:hAnsi="Arial" w:cs="Arial"/>
          <w:sz w:val="22"/>
          <w:szCs w:val="22"/>
        </w:rPr>
      </w:pPr>
      <w:r>
        <w:rPr>
          <w:rFonts w:ascii="Arial" w:eastAsia="Calibri" w:hAnsi="Arial" w:cs="Arial"/>
          <w:sz w:val="22"/>
          <w:szCs w:val="22"/>
        </w:rPr>
        <w:t xml:space="preserve">(005.04(C)) </w:t>
      </w:r>
      <w:r w:rsidR="00763497" w:rsidRPr="0031417F">
        <w:rPr>
          <w:rFonts w:ascii="Arial" w:eastAsia="Calibri" w:hAnsi="Arial" w:cs="Arial"/>
          <w:sz w:val="22"/>
          <w:szCs w:val="22"/>
        </w:rPr>
        <w:t>The insurer’s</w:t>
      </w:r>
      <w:r w:rsidR="00ED37C2" w:rsidRPr="0031417F">
        <w:rPr>
          <w:rFonts w:ascii="Arial" w:eastAsia="Calibri" w:hAnsi="Arial" w:cs="Arial"/>
          <w:sz w:val="22"/>
          <w:szCs w:val="22"/>
        </w:rPr>
        <w:t xml:space="preserve"> or insurance group’s</w:t>
      </w:r>
      <w:r w:rsidR="00763497" w:rsidRPr="0031417F">
        <w:rPr>
          <w:rFonts w:ascii="Arial" w:eastAsia="Calibri" w:hAnsi="Arial" w:cs="Arial"/>
          <w:sz w:val="22"/>
          <w:szCs w:val="22"/>
        </w:rPr>
        <w:t xml:space="preserve"> processes for performance evaluation, compensation and corrective action to ensure effective senior management throughout the organizat</w:t>
      </w:r>
      <w:r w:rsidR="00744388" w:rsidRPr="0031417F">
        <w:rPr>
          <w:rFonts w:ascii="Arial" w:eastAsia="Calibri" w:hAnsi="Arial" w:cs="Arial"/>
          <w:sz w:val="22"/>
          <w:szCs w:val="22"/>
        </w:rPr>
        <w:t>ion, including a description of t</w:t>
      </w:r>
      <w:r w:rsidR="008E1E70" w:rsidRPr="0031417F">
        <w:rPr>
          <w:rFonts w:ascii="Arial" w:eastAsia="Calibri" w:hAnsi="Arial" w:cs="Arial"/>
          <w:sz w:val="22"/>
          <w:szCs w:val="22"/>
        </w:rPr>
        <w:t>he general objectives of significant compensation programs and what the programs are designed to</w:t>
      </w:r>
      <w:r w:rsidR="00763497" w:rsidRPr="0031417F">
        <w:rPr>
          <w:rFonts w:ascii="Arial" w:eastAsia="Calibri" w:hAnsi="Arial" w:cs="Arial"/>
          <w:sz w:val="22"/>
          <w:szCs w:val="22"/>
        </w:rPr>
        <w:t xml:space="preserve"> reward. The description sh</w:t>
      </w:r>
      <w:r w:rsidR="007F79BB" w:rsidRPr="0031417F">
        <w:rPr>
          <w:rFonts w:ascii="Arial" w:eastAsia="Calibri" w:hAnsi="Arial" w:cs="Arial"/>
          <w:sz w:val="22"/>
          <w:szCs w:val="22"/>
        </w:rPr>
        <w:t>all</w:t>
      </w:r>
      <w:r w:rsidR="00E06D30" w:rsidRPr="0031417F">
        <w:rPr>
          <w:rFonts w:ascii="Arial" w:eastAsia="Calibri" w:hAnsi="Arial" w:cs="Arial"/>
          <w:sz w:val="22"/>
          <w:szCs w:val="22"/>
        </w:rPr>
        <w:t xml:space="preserve"> </w:t>
      </w:r>
      <w:r w:rsidR="007F79BB" w:rsidRPr="0031417F">
        <w:rPr>
          <w:rFonts w:ascii="Arial" w:eastAsia="Calibri" w:hAnsi="Arial" w:cs="Arial"/>
          <w:sz w:val="22"/>
          <w:szCs w:val="22"/>
        </w:rPr>
        <w:t>include</w:t>
      </w:r>
      <w:r w:rsidR="00372C22" w:rsidRPr="0031417F">
        <w:rPr>
          <w:rFonts w:ascii="Arial" w:eastAsia="Calibri" w:hAnsi="Arial" w:cs="Arial"/>
          <w:sz w:val="22"/>
          <w:szCs w:val="22"/>
        </w:rPr>
        <w:t xml:space="preserve"> </w:t>
      </w:r>
      <w:r w:rsidR="008E1E70" w:rsidRPr="0031417F">
        <w:rPr>
          <w:rFonts w:ascii="Arial" w:eastAsia="Calibri" w:hAnsi="Arial" w:cs="Arial"/>
          <w:sz w:val="22"/>
          <w:szCs w:val="22"/>
        </w:rPr>
        <w:t xml:space="preserve">sufficient detail to </w:t>
      </w:r>
      <w:r w:rsidR="00763497" w:rsidRPr="0031417F">
        <w:rPr>
          <w:rFonts w:ascii="Arial" w:eastAsia="Calibri" w:hAnsi="Arial" w:cs="Arial"/>
          <w:sz w:val="22"/>
          <w:szCs w:val="22"/>
        </w:rPr>
        <w:t>allow</w:t>
      </w:r>
      <w:r w:rsidR="008E1E70" w:rsidRPr="0031417F">
        <w:rPr>
          <w:rFonts w:ascii="Arial" w:eastAsia="Calibri" w:hAnsi="Arial" w:cs="Arial"/>
          <w:sz w:val="22"/>
          <w:szCs w:val="22"/>
        </w:rPr>
        <w:t xml:space="preserve"> the </w:t>
      </w:r>
      <w:r w:rsidR="007E0247" w:rsidRPr="0031417F">
        <w:rPr>
          <w:rFonts w:ascii="Arial" w:eastAsia="Calibri" w:hAnsi="Arial" w:cs="Arial"/>
          <w:sz w:val="22"/>
          <w:szCs w:val="22"/>
        </w:rPr>
        <w:t>Director</w:t>
      </w:r>
      <w:r w:rsidR="008E1E70" w:rsidRPr="0031417F">
        <w:rPr>
          <w:rFonts w:ascii="Arial" w:eastAsia="Calibri" w:hAnsi="Arial" w:cs="Arial"/>
          <w:sz w:val="22"/>
          <w:szCs w:val="22"/>
        </w:rPr>
        <w:t xml:space="preserve"> </w:t>
      </w:r>
      <w:r w:rsidR="00763497" w:rsidRPr="0031417F">
        <w:rPr>
          <w:rFonts w:ascii="Arial" w:eastAsia="Calibri" w:hAnsi="Arial" w:cs="Arial"/>
          <w:sz w:val="22"/>
          <w:szCs w:val="22"/>
        </w:rPr>
        <w:t>to understand</w:t>
      </w:r>
      <w:r w:rsidR="008E1E70" w:rsidRPr="0031417F">
        <w:rPr>
          <w:rFonts w:ascii="Arial" w:eastAsia="Calibri" w:hAnsi="Arial" w:cs="Arial"/>
          <w:sz w:val="22"/>
          <w:szCs w:val="22"/>
        </w:rPr>
        <w:t xml:space="preserve"> how the organization ensures that compensation programs do not encourage and/or reward excessive risk taking. Elements to be discussed may include</w:t>
      </w:r>
      <w:r w:rsidR="00564F74" w:rsidRPr="0031417F">
        <w:rPr>
          <w:rFonts w:ascii="Arial" w:eastAsia="Calibri" w:hAnsi="Arial" w:cs="Arial"/>
          <w:sz w:val="22"/>
          <w:szCs w:val="22"/>
        </w:rPr>
        <w:t>, for example</w:t>
      </w:r>
      <w:r w:rsidR="008E1E70" w:rsidRPr="0031417F">
        <w:rPr>
          <w:rFonts w:ascii="Arial" w:eastAsia="Calibri" w:hAnsi="Arial" w:cs="Arial"/>
          <w:sz w:val="22"/>
          <w:szCs w:val="22"/>
        </w:rPr>
        <w:t>:</w:t>
      </w:r>
    </w:p>
    <w:p w:rsidR="00763497" w:rsidRPr="0031417F" w:rsidRDefault="00763497"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(005.04(C)(1)) </w:t>
      </w:r>
      <w:r w:rsidR="008E1E70" w:rsidRPr="0031417F">
        <w:rPr>
          <w:rFonts w:ascii="Arial" w:eastAsia="Calibri" w:hAnsi="Arial" w:cs="Arial"/>
          <w:sz w:val="22"/>
          <w:szCs w:val="22"/>
        </w:rPr>
        <w:t>The Board’</w:t>
      </w:r>
      <w:r>
        <w:rPr>
          <w:rFonts w:ascii="Arial" w:eastAsia="Calibri" w:hAnsi="Arial" w:cs="Arial"/>
          <w:sz w:val="22"/>
          <w:szCs w:val="22"/>
        </w:rPr>
        <w:t xml:space="preserve">s role in overseeing management </w:t>
      </w:r>
      <w:r>
        <w:rPr>
          <w:rFonts w:ascii="Arial" w:eastAsia="Calibri" w:hAnsi="Arial" w:cs="Arial"/>
          <w:sz w:val="22"/>
          <w:szCs w:val="22"/>
        </w:rPr>
        <w:tab/>
      </w:r>
      <w:r w:rsidR="008E1E70" w:rsidRPr="0031417F">
        <w:rPr>
          <w:rFonts w:ascii="Arial" w:eastAsia="Calibri" w:hAnsi="Arial" w:cs="Arial"/>
          <w:sz w:val="22"/>
          <w:szCs w:val="22"/>
        </w:rPr>
        <w:t xml:space="preserve">compensation programs and practices. </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(005.04(C)(2)) </w:t>
      </w:r>
      <w:r w:rsidR="008E1E70" w:rsidRPr="0031417F">
        <w:rPr>
          <w:rFonts w:ascii="Arial" w:eastAsia="Calibri" w:hAnsi="Arial" w:cs="Arial"/>
          <w:sz w:val="22"/>
          <w:szCs w:val="22"/>
        </w:rPr>
        <w:t xml:space="preserve">The various elements of compensation awarded in the </w:t>
      </w:r>
      <w:r>
        <w:rPr>
          <w:rFonts w:ascii="Arial" w:eastAsia="Calibri" w:hAnsi="Arial" w:cs="Arial"/>
          <w:sz w:val="22"/>
          <w:szCs w:val="22"/>
        </w:rPr>
        <w:tab/>
      </w:r>
      <w:r w:rsidR="00372C22" w:rsidRPr="0031417F">
        <w:rPr>
          <w:rFonts w:ascii="Arial" w:eastAsia="Calibri" w:hAnsi="Arial" w:cs="Arial"/>
          <w:sz w:val="22"/>
          <w:szCs w:val="22"/>
        </w:rPr>
        <w:t>insurer</w:t>
      </w:r>
      <w:r w:rsidR="008E1E70" w:rsidRPr="0031417F">
        <w:rPr>
          <w:rFonts w:ascii="Arial" w:eastAsia="Calibri" w:hAnsi="Arial" w:cs="Arial"/>
          <w:sz w:val="22"/>
          <w:szCs w:val="22"/>
        </w:rPr>
        <w:t>’s</w:t>
      </w:r>
      <w:r w:rsidR="00ED37C2" w:rsidRPr="0031417F">
        <w:rPr>
          <w:rFonts w:ascii="Arial" w:eastAsia="Calibri" w:hAnsi="Arial" w:cs="Arial"/>
          <w:sz w:val="22"/>
          <w:szCs w:val="22"/>
        </w:rPr>
        <w:t xml:space="preserve"> or insurance group’s</w:t>
      </w:r>
      <w:r w:rsidR="008E1E70" w:rsidRPr="0031417F">
        <w:rPr>
          <w:rFonts w:ascii="Arial" w:eastAsia="Calibri" w:hAnsi="Arial" w:cs="Arial"/>
          <w:sz w:val="22"/>
          <w:szCs w:val="22"/>
        </w:rPr>
        <w:t xml:space="preserve"> compensation programs and how the </w:t>
      </w:r>
      <w:r>
        <w:rPr>
          <w:rFonts w:ascii="Arial" w:eastAsia="Calibri" w:hAnsi="Arial" w:cs="Arial"/>
          <w:sz w:val="22"/>
          <w:szCs w:val="22"/>
        </w:rPr>
        <w:tab/>
      </w:r>
      <w:r w:rsidR="00372C22" w:rsidRPr="0031417F">
        <w:rPr>
          <w:rFonts w:ascii="Arial" w:eastAsia="Calibri" w:hAnsi="Arial" w:cs="Arial"/>
          <w:sz w:val="22"/>
          <w:szCs w:val="22"/>
        </w:rPr>
        <w:t>insurer</w:t>
      </w:r>
      <w:r w:rsidR="008E1E70" w:rsidRPr="0031417F">
        <w:rPr>
          <w:rFonts w:ascii="Arial" w:eastAsia="Calibri" w:hAnsi="Arial" w:cs="Arial"/>
          <w:sz w:val="22"/>
          <w:szCs w:val="22"/>
        </w:rPr>
        <w:t xml:space="preserve">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8E1E70" w:rsidRPr="0031417F">
        <w:rPr>
          <w:rFonts w:ascii="Arial" w:eastAsia="Calibri" w:hAnsi="Arial" w:cs="Arial"/>
          <w:sz w:val="22"/>
          <w:szCs w:val="22"/>
        </w:rPr>
        <w:t>determines</w:t>
      </w:r>
      <w:r w:rsidR="0097300A" w:rsidRPr="0031417F">
        <w:rPr>
          <w:rFonts w:ascii="Arial" w:eastAsia="Calibri" w:hAnsi="Arial" w:cs="Arial"/>
          <w:sz w:val="22"/>
          <w:szCs w:val="22"/>
        </w:rPr>
        <w:t xml:space="preserve"> and </w:t>
      </w:r>
      <w:r w:rsidR="008E1E70" w:rsidRPr="0031417F">
        <w:rPr>
          <w:rFonts w:ascii="Arial" w:eastAsia="Calibri" w:hAnsi="Arial" w:cs="Arial"/>
          <w:sz w:val="22"/>
          <w:szCs w:val="22"/>
        </w:rPr>
        <w:t xml:space="preserve">calculates the amount of each </w:t>
      </w:r>
      <w:r>
        <w:rPr>
          <w:rFonts w:ascii="Arial" w:eastAsia="Calibri" w:hAnsi="Arial" w:cs="Arial"/>
          <w:sz w:val="22"/>
          <w:szCs w:val="22"/>
        </w:rPr>
        <w:tab/>
      </w:r>
      <w:r w:rsidR="008E1E70" w:rsidRPr="0031417F">
        <w:rPr>
          <w:rFonts w:ascii="Arial" w:eastAsia="Calibri" w:hAnsi="Arial" w:cs="Arial"/>
          <w:sz w:val="22"/>
          <w:szCs w:val="22"/>
        </w:rPr>
        <w:t xml:space="preserve">element of compensation paid; </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(005.04(C)(3)) </w:t>
      </w:r>
      <w:r w:rsidR="008E1E70" w:rsidRPr="0031417F">
        <w:rPr>
          <w:rFonts w:ascii="Arial" w:eastAsia="Calibri" w:hAnsi="Arial" w:cs="Arial"/>
          <w:sz w:val="22"/>
          <w:szCs w:val="22"/>
        </w:rPr>
        <w:t xml:space="preserve">How compensation programs are related to both company </w:t>
      </w:r>
      <w:r>
        <w:rPr>
          <w:rFonts w:ascii="Arial" w:eastAsia="Calibri" w:hAnsi="Arial" w:cs="Arial"/>
          <w:sz w:val="22"/>
          <w:szCs w:val="22"/>
        </w:rPr>
        <w:tab/>
      </w:r>
      <w:r w:rsidR="008E1E70" w:rsidRPr="0031417F">
        <w:rPr>
          <w:rFonts w:ascii="Arial" w:eastAsia="Calibri" w:hAnsi="Arial" w:cs="Arial"/>
          <w:sz w:val="22"/>
          <w:szCs w:val="22"/>
        </w:rPr>
        <w:t xml:space="preserve">and individual </w:t>
      </w:r>
      <w:r w:rsidR="00F97328" w:rsidRPr="0031417F">
        <w:rPr>
          <w:rFonts w:ascii="Arial" w:eastAsia="Calibri" w:hAnsi="Arial" w:cs="Arial"/>
          <w:sz w:val="22"/>
          <w:szCs w:val="22"/>
        </w:rPr>
        <w:t>p</w:t>
      </w:r>
      <w:r w:rsidR="008E1E70" w:rsidRPr="0031417F">
        <w:rPr>
          <w:rFonts w:ascii="Arial" w:eastAsia="Calibri" w:hAnsi="Arial" w:cs="Arial"/>
          <w:sz w:val="22"/>
          <w:szCs w:val="22"/>
        </w:rPr>
        <w:t>erformance over time;</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(005.04(C)(4)) </w:t>
      </w:r>
      <w:r w:rsidR="008E1E70" w:rsidRPr="0031417F">
        <w:rPr>
          <w:rFonts w:ascii="Arial" w:eastAsia="Calibri" w:hAnsi="Arial" w:cs="Arial"/>
          <w:sz w:val="22"/>
          <w:szCs w:val="22"/>
        </w:rPr>
        <w:t xml:space="preserve">Whether compensation programs include risk adjustments </w:t>
      </w:r>
      <w:r>
        <w:rPr>
          <w:rFonts w:ascii="Arial" w:eastAsia="Calibri" w:hAnsi="Arial" w:cs="Arial"/>
          <w:sz w:val="22"/>
          <w:szCs w:val="22"/>
        </w:rPr>
        <w:tab/>
      </w:r>
      <w:r w:rsidR="008E1E70" w:rsidRPr="0031417F">
        <w:rPr>
          <w:rFonts w:ascii="Arial" w:eastAsia="Calibri" w:hAnsi="Arial" w:cs="Arial"/>
          <w:sz w:val="22"/>
          <w:szCs w:val="22"/>
        </w:rPr>
        <w:t xml:space="preserve">and how those </w:t>
      </w:r>
      <w:r w:rsidR="00F97328" w:rsidRPr="0031417F">
        <w:rPr>
          <w:rFonts w:ascii="Arial" w:eastAsia="Calibri" w:hAnsi="Arial" w:cs="Arial"/>
          <w:sz w:val="22"/>
          <w:szCs w:val="22"/>
        </w:rPr>
        <w:t>a</w:t>
      </w:r>
      <w:r w:rsidR="008E1E70" w:rsidRPr="0031417F">
        <w:rPr>
          <w:rFonts w:ascii="Arial" w:eastAsia="Calibri" w:hAnsi="Arial" w:cs="Arial"/>
          <w:sz w:val="22"/>
          <w:szCs w:val="22"/>
        </w:rPr>
        <w:t xml:space="preserve">djustments are incorporated into the programs for </w:t>
      </w:r>
      <w:r>
        <w:rPr>
          <w:rFonts w:ascii="Arial" w:eastAsia="Calibri" w:hAnsi="Arial" w:cs="Arial"/>
          <w:sz w:val="22"/>
          <w:szCs w:val="22"/>
        </w:rPr>
        <w:tab/>
      </w:r>
      <w:r w:rsidR="008E1E70" w:rsidRPr="0031417F">
        <w:rPr>
          <w:rFonts w:ascii="Arial" w:eastAsia="Calibri" w:hAnsi="Arial" w:cs="Arial"/>
          <w:sz w:val="22"/>
          <w:szCs w:val="22"/>
        </w:rPr>
        <w:t>employees at different levels;</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(005.04(C)(5)) </w:t>
      </w:r>
      <w:r w:rsidR="008E1E70" w:rsidRPr="0031417F">
        <w:rPr>
          <w:rFonts w:ascii="Arial" w:eastAsia="Calibri" w:hAnsi="Arial" w:cs="Arial"/>
          <w:sz w:val="22"/>
          <w:szCs w:val="22"/>
        </w:rPr>
        <w:t xml:space="preserve">Any clawback provisions built into the programs to recover </w:t>
      </w:r>
      <w:r>
        <w:rPr>
          <w:rFonts w:ascii="Arial" w:eastAsia="Calibri" w:hAnsi="Arial" w:cs="Arial"/>
          <w:sz w:val="22"/>
          <w:szCs w:val="22"/>
        </w:rPr>
        <w:tab/>
      </w:r>
      <w:r w:rsidR="008E1E70" w:rsidRPr="0031417F">
        <w:rPr>
          <w:rFonts w:ascii="Arial" w:eastAsia="Calibri" w:hAnsi="Arial" w:cs="Arial"/>
          <w:sz w:val="22"/>
          <w:szCs w:val="22"/>
        </w:rPr>
        <w:t xml:space="preserve">awards or payments if the performance measures upon which they are </w:t>
      </w:r>
      <w:r>
        <w:rPr>
          <w:rFonts w:ascii="Arial" w:eastAsia="Calibri" w:hAnsi="Arial" w:cs="Arial"/>
          <w:sz w:val="22"/>
          <w:szCs w:val="22"/>
        </w:rPr>
        <w:tab/>
      </w:r>
      <w:r w:rsidR="008E1E70" w:rsidRPr="0031417F">
        <w:rPr>
          <w:rFonts w:ascii="Arial" w:eastAsia="Calibri" w:hAnsi="Arial" w:cs="Arial"/>
          <w:sz w:val="22"/>
          <w:szCs w:val="22"/>
        </w:rPr>
        <w:t>based are restated or otherwise adjusted;</w:t>
      </w:r>
    </w:p>
    <w:p w:rsidR="00426679" w:rsidRPr="0031417F" w:rsidRDefault="00426679" w:rsidP="007D00EE">
      <w:pPr>
        <w:ind w:left="1800"/>
        <w:rPr>
          <w:rFonts w:ascii="Arial" w:eastAsia="Calibri" w:hAnsi="Arial" w:cs="Arial"/>
          <w:sz w:val="22"/>
          <w:szCs w:val="22"/>
        </w:rPr>
      </w:pPr>
    </w:p>
    <w:p w:rsidR="008E1E70"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(005.04(C)(6)) </w:t>
      </w:r>
      <w:r w:rsidR="008E1E70" w:rsidRPr="0031417F">
        <w:rPr>
          <w:rFonts w:ascii="Arial" w:eastAsia="Calibri" w:hAnsi="Arial" w:cs="Arial"/>
          <w:sz w:val="22"/>
          <w:szCs w:val="22"/>
        </w:rPr>
        <w:t xml:space="preserve">Any other factors relevant in understanding how the </w:t>
      </w:r>
      <w:r>
        <w:rPr>
          <w:rFonts w:ascii="Arial" w:eastAsia="Calibri" w:hAnsi="Arial" w:cs="Arial"/>
          <w:sz w:val="22"/>
          <w:szCs w:val="22"/>
        </w:rPr>
        <w:tab/>
      </w:r>
      <w:r w:rsidR="00372C22" w:rsidRPr="0031417F">
        <w:rPr>
          <w:rFonts w:ascii="Arial" w:eastAsia="Calibri" w:hAnsi="Arial" w:cs="Arial"/>
          <w:sz w:val="22"/>
          <w:szCs w:val="22"/>
        </w:rPr>
        <w:t>insurer</w:t>
      </w:r>
      <w:r w:rsidR="008E1E70" w:rsidRPr="0031417F">
        <w:rPr>
          <w:rFonts w:ascii="Arial" w:eastAsia="Calibri" w:hAnsi="Arial" w:cs="Arial"/>
          <w:sz w:val="22"/>
          <w:szCs w:val="22"/>
        </w:rPr>
        <w:t xml:space="preserve"> </w:t>
      </w:r>
      <w:r w:rsidR="00ED37C2" w:rsidRPr="0031417F">
        <w:rPr>
          <w:rFonts w:ascii="Arial" w:eastAsia="Calibri" w:hAnsi="Arial" w:cs="Arial"/>
          <w:sz w:val="22"/>
          <w:szCs w:val="22"/>
        </w:rPr>
        <w:t>or insurance group</w:t>
      </w:r>
      <w:r w:rsidR="00ED37C2" w:rsidRPr="0031417F">
        <w:rPr>
          <w:rFonts w:ascii="Arial" w:hAnsi="Arial" w:cs="Arial"/>
          <w:sz w:val="22"/>
          <w:szCs w:val="22"/>
        </w:rPr>
        <w:t xml:space="preserve"> </w:t>
      </w:r>
      <w:r w:rsidR="008E1E70" w:rsidRPr="0031417F">
        <w:rPr>
          <w:rFonts w:ascii="Arial" w:eastAsia="Calibri" w:hAnsi="Arial" w:cs="Arial"/>
          <w:sz w:val="22"/>
          <w:szCs w:val="22"/>
        </w:rPr>
        <w:t xml:space="preserve">monitors its compensation policies to </w:t>
      </w:r>
      <w:r>
        <w:rPr>
          <w:rFonts w:ascii="Arial" w:eastAsia="Calibri" w:hAnsi="Arial" w:cs="Arial"/>
          <w:sz w:val="22"/>
          <w:szCs w:val="22"/>
        </w:rPr>
        <w:tab/>
      </w:r>
      <w:r w:rsidR="008E1E70" w:rsidRPr="0031417F">
        <w:rPr>
          <w:rFonts w:ascii="Arial" w:eastAsia="Calibri" w:hAnsi="Arial" w:cs="Arial"/>
          <w:sz w:val="22"/>
          <w:szCs w:val="22"/>
        </w:rPr>
        <w:t xml:space="preserve">determine whether its risk management objectives are </w:t>
      </w:r>
      <w:r w:rsidR="00E06D30" w:rsidRPr="0031417F">
        <w:rPr>
          <w:rFonts w:ascii="Arial" w:eastAsia="Calibri" w:hAnsi="Arial" w:cs="Arial"/>
          <w:sz w:val="22"/>
          <w:szCs w:val="22"/>
        </w:rPr>
        <w:t>m</w:t>
      </w:r>
      <w:r w:rsidR="008E1E70" w:rsidRPr="0031417F">
        <w:rPr>
          <w:rFonts w:ascii="Arial" w:eastAsia="Calibri" w:hAnsi="Arial" w:cs="Arial"/>
          <w:sz w:val="22"/>
          <w:szCs w:val="22"/>
        </w:rPr>
        <w:t xml:space="preserve">et </w:t>
      </w:r>
      <w:r w:rsidR="007F79BB" w:rsidRPr="0031417F">
        <w:rPr>
          <w:rFonts w:ascii="Arial" w:eastAsia="Calibri" w:hAnsi="Arial" w:cs="Arial"/>
          <w:sz w:val="22"/>
          <w:szCs w:val="22"/>
        </w:rPr>
        <w:t>by</w:t>
      </w:r>
      <w:r w:rsidR="008E1E70" w:rsidRPr="0031417F">
        <w:rPr>
          <w:rFonts w:ascii="Arial" w:eastAsia="Calibri" w:hAnsi="Arial" w:cs="Arial"/>
          <w:sz w:val="22"/>
          <w:szCs w:val="22"/>
        </w:rPr>
        <w:t xml:space="preserve"> </w:t>
      </w:r>
      <w:r>
        <w:rPr>
          <w:rFonts w:ascii="Arial" w:eastAsia="Calibri" w:hAnsi="Arial" w:cs="Arial"/>
          <w:sz w:val="22"/>
          <w:szCs w:val="22"/>
        </w:rPr>
        <w:tab/>
      </w:r>
      <w:r w:rsidR="008E1E70" w:rsidRPr="0031417F">
        <w:rPr>
          <w:rFonts w:ascii="Arial" w:eastAsia="Calibri" w:hAnsi="Arial" w:cs="Arial"/>
          <w:sz w:val="22"/>
          <w:szCs w:val="22"/>
        </w:rPr>
        <w:t>incentivizing its employees.</w:t>
      </w:r>
    </w:p>
    <w:p w:rsidR="00737A76" w:rsidRPr="0031417F" w:rsidRDefault="00737A76" w:rsidP="007D00EE">
      <w:pPr>
        <w:ind w:left="1800"/>
        <w:rPr>
          <w:rFonts w:ascii="Arial" w:eastAsia="Calibri" w:hAnsi="Arial" w:cs="Arial"/>
          <w:strike/>
          <w:sz w:val="22"/>
          <w:szCs w:val="22"/>
        </w:rPr>
      </w:pPr>
    </w:p>
    <w:p w:rsidR="0097300A" w:rsidRPr="0031417F" w:rsidRDefault="00894FC2" w:rsidP="00894FC2">
      <w:pPr>
        <w:ind w:left="1440"/>
        <w:rPr>
          <w:rFonts w:ascii="Arial" w:hAnsi="Arial" w:cs="Arial"/>
          <w:sz w:val="22"/>
          <w:szCs w:val="22"/>
        </w:rPr>
      </w:pPr>
      <w:r>
        <w:rPr>
          <w:rFonts w:ascii="Arial" w:hAnsi="Arial" w:cs="Arial"/>
          <w:sz w:val="22"/>
          <w:szCs w:val="22"/>
        </w:rPr>
        <w:t xml:space="preserve">(005.04(D)) </w:t>
      </w:r>
      <w:r w:rsidR="0097300A" w:rsidRPr="0031417F">
        <w:rPr>
          <w:rFonts w:ascii="Arial" w:hAnsi="Arial" w:cs="Arial"/>
          <w:sz w:val="22"/>
          <w:szCs w:val="22"/>
        </w:rPr>
        <w:t xml:space="preserve">The insurer’s </w:t>
      </w:r>
      <w:r w:rsidR="00ED37C2" w:rsidRPr="0031417F">
        <w:rPr>
          <w:rFonts w:ascii="Arial" w:eastAsia="Calibri" w:hAnsi="Arial" w:cs="Arial"/>
          <w:sz w:val="22"/>
          <w:szCs w:val="22"/>
        </w:rPr>
        <w:t>or insurance group’s</w:t>
      </w:r>
      <w:r w:rsidR="00ED37C2" w:rsidRPr="0031417F">
        <w:rPr>
          <w:rFonts w:ascii="Arial" w:hAnsi="Arial" w:cs="Arial"/>
          <w:sz w:val="22"/>
          <w:szCs w:val="22"/>
        </w:rPr>
        <w:t xml:space="preserve"> </w:t>
      </w:r>
      <w:r w:rsidR="00361BB3" w:rsidRPr="0031417F">
        <w:rPr>
          <w:rFonts w:ascii="Arial" w:hAnsi="Arial" w:cs="Arial"/>
          <w:sz w:val="22"/>
          <w:szCs w:val="22"/>
        </w:rPr>
        <w:t>plans for CEO and Senior M</w:t>
      </w:r>
      <w:r w:rsidR="0097300A" w:rsidRPr="0031417F">
        <w:rPr>
          <w:rFonts w:ascii="Arial" w:hAnsi="Arial" w:cs="Arial"/>
          <w:sz w:val="22"/>
          <w:szCs w:val="22"/>
        </w:rPr>
        <w:t>anagement succession.</w:t>
      </w:r>
    </w:p>
    <w:p w:rsidR="008E1E70" w:rsidRPr="0031417F" w:rsidRDefault="008E1E70" w:rsidP="007D00EE">
      <w:pPr>
        <w:rPr>
          <w:rFonts w:ascii="Arial" w:eastAsia="Calibri" w:hAnsi="Arial" w:cs="Arial"/>
          <w:bCs/>
          <w:smallCaps/>
          <w:sz w:val="22"/>
          <w:szCs w:val="22"/>
          <w:u w:val="single"/>
        </w:rPr>
      </w:pPr>
    </w:p>
    <w:p w:rsidR="007474D9" w:rsidRPr="0031417F" w:rsidRDefault="00894FC2" w:rsidP="007D00EE">
      <w:pPr>
        <w:tabs>
          <w:tab w:val="num" w:pos="1985"/>
        </w:tabs>
        <w:ind w:left="720" w:hanging="720"/>
        <w:rPr>
          <w:rFonts w:ascii="Arial" w:eastAsia="Calibri" w:hAnsi="Arial" w:cs="Arial"/>
          <w:sz w:val="22"/>
          <w:szCs w:val="22"/>
        </w:rPr>
      </w:pPr>
      <w:r>
        <w:rPr>
          <w:rFonts w:ascii="Arial" w:eastAsia="Calibri" w:hAnsi="Arial" w:cs="Arial"/>
          <w:sz w:val="22"/>
          <w:szCs w:val="22"/>
        </w:rPr>
        <w:tab/>
        <w:t xml:space="preserve">(005.05) </w:t>
      </w:r>
      <w:r w:rsidR="00952D9D" w:rsidRPr="0031417F">
        <w:rPr>
          <w:rFonts w:ascii="Arial" w:eastAsia="Calibri" w:hAnsi="Arial" w:cs="Arial"/>
          <w:sz w:val="22"/>
          <w:szCs w:val="22"/>
        </w:rPr>
        <w:t xml:space="preserve">The insurer </w:t>
      </w:r>
      <w:r w:rsidR="003B28A0" w:rsidRPr="0031417F">
        <w:rPr>
          <w:rFonts w:ascii="Arial" w:eastAsia="Calibri" w:hAnsi="Arial" w:cs="Arial"/>
          <w:sz w:val="22"/>
          <w:szCs w:val="22"/>
        </w:rPr>
        <w:t>or insurance group</w:t>
      </w:r>
      <w:r w:rsidR="003B28A0" w:rsidRPr="0031417F">
        <w:rPr>
          <w:rFonts w:ascii="Arial" w:hAnsi="Arial" w:cs="Arial"/>
          <w:sz w:val="22"/>
          <w:szCs w:val="22"/>
        </w:rPr>
        <w:t xml:space="preserve"> </w:t>
      </w:r>
      <w:r w:rsidR="00952D9D" w:rsidRPr="0031417F">
        <w:rPr>
          <w:rFonts w:ascii="Arial" w:eastAsia="Calibri" w:hAnsi="Arial" w:cs="Arial"/>
          <w:sz w:val="22"/>
          <w:szCs w:val="22"/>
        </w:rPr>
        <w:t>shall describe</w:t>
      </w:r>
      <w:r w:rsidR="008E1E70" w:rsidRPr="0031417F">
        <w:rPr>
          <w:rFonts w:ascii="Arial" w:eastAsia="Calibri" w:hAnsi="Arial" w:cs="Arial"/>
          <w:sz w:val="22"/>
          <w:szCs w:val="22"/>
        </w:rPr>
        <w:t xml:space="preserve"> the processes by which</w:t>
      </w:r>
      <w:r w:rsidR="00931CA2" w:rsidRPr="0031417F">
        <w:rPr>
          <w:rFonts w:ascii="Arial" w:eastAsia="Calibri" w:hAnsi="Arial" w:cs="Arial"/>
          <w:sz w:val="22"/>
          <w:szCs w:val="22"/>
        </w:rPr>
        <w:t xml:space="preserve"> the Board, its committees and Senior M</w:t>
      </w:r>
      <w:r w:rsidR="008E1E70" w:rsidRPr="0031417F">
        <w:rPr>
          <w:rFonts w:ascii="Arial" w:eastAsia="Calibri" w:hAnsi="Arial" w:cs="Arial"/>
          <w:sz w:val="22"/>
          <w:szCs w:val="22"/>
        </w:rPr>
        <w:t xml:space="preserve">anagement ensure an appropriate </w:t>
      </w:r>
      <w:r w:rsidR="00C04545" w:rsidRPr="0031417F">
        <w:rPr>
          <w:rFonts w:ascii="Arial" w:eastAsia="Calibri" w:hAnsi="Arial" w:cs="Arial"/>
          <w:sz w:val="22"/>
          <w:szCs w:val="22"/>
        </w:rPr>
        <w:t>amount</w:t>
      </w:r>
      <w:r w:rsidR="00E06D30" w:rsidRPr="0031417F">
        <w:rPr>
          <w:rFonts w:ascii="Arial" w:eastAsia="Calibri" w:hAnsi="Arial" w:cs="Arial"/>
          <w:sz w:val="22"/>
          <w:szCs w:val="22"/>
        </w:rPr>
        <w:t xml:space="preserve"> </w:t>
      </w:r>
      <w:r w:rsidR="008E1E70" w:rsidRPr="0031417F">
        <w:rPr>
          <w:rFonts w:ascii="Arial" w:eastAsia="Calibri" w:hAnsi="Arial" w:cs="Arial"/>
          <w:sz w:val="22"/>
          <w:szCs w:val="22"/>
        </w:rPr>
        <w:t xml:space="preserve">of oversight to the critical risk areas impacting the </w:t>
      </w:r>
      <w:r w:rsidR="00482546" w:rsidRPr="0031417F">
        <w:rPr>
          <w:rFonts w:ascii="Arial" w:eastAsia="Calibri" w:hAnsi="Arial" w:cs="Arial"/>
          <w:sz w:val="22"/>
          <w:szCs w:val="22"/>
        </w:rPr>
        <w:t>insurer</w:t>
      </w:r>
      <w:r w:rsidR="008E1E70" w:rsidRPr="0031417F">
        <w:rPr>
          <w:rFonts w:ascii="Arial" w:eastAsia="Calibri" w:hAnsi="Arial" w:cs="Arial"/>
          <w:sz w:val="22"/>
          <w:szCs w:val="22"/>
        </w:rPr>
        <w:t>’s business act</w:t>
      </w:r>
      <w:r w:rsidR="00952D9D" w:rsidRPr="0031417F">
        <w:rPr>
          <w:rFonts w:ascii="Arial" w:eastAsia="Calibri" w:hAnsi="Arial" w:cs="Arial"/>
          <w:sz w:val="22"/>
          <w:szCs w:val="22"/>
        </w:rPr>
        <w:t>ivities</w:t>
      </w:r>
      <w:r w:rsidR="007474D9" w:rsidRPr="0031417F">
        <w:rPr>
          <w:rFonts w:ascii="Arial" w:eastAsia="Calibri" w:hAnsi="Arial" w:cs="Arial"/>
          <w:sz w:val="22"/>
          <w:szCs w:val="22"/>
        </w:rPr>
        <w:t xml:space="preserve">, including a </w:t>
      </w:r>
      <w:r w:rsidR="0097300A" w:rsidRPr="0031417F">
        <w:rPr>
          <w:rFonts w:ascii="Arial" w:eastAsia="Calibri" w:hAnsi="Arial" w:cs="Arial"/>
          <w:sz w:val="22"/>
          <w:szCs w:val="22"/>
        </w:rPr>
        <w:t xml:space="preserve">discussion </w:t>
      </w:r>
      <w:r w:rsidR="007474D9" w:rsidRPr="0031417F">
        <w:rPr>
          <w:rFonts w:ascii="Arial" w:eastAsia="Calibri" w:hAnsi="Arial" w:cs="Arial"/>
          <w:sz w:val="22"/>
          <w:szCs w:val="22"/>
        </w:rPr>
        <w:t>of:</w:t>
      </w:r>
    </w:p>
    <w:p w:rsidR="007474D9" w:rsidRPr="0031417F" w:rsidRDefault="007474D9" w:rsidP="007D00EE">
      <w:pPr>
        <w:tabs>
          <w:tab w:val="num" w:pos="1985"/>
        </w:tabs>
        <w:ind w:left="1440" w:hanging="720"/>
        <w:rPr>
          <w:rFonts w:ascii="Arial" w:eastAsia="Calibri" w:hAnsi="Arial" w:cs="Arial"/>
          <w:sz w:val="22"/>
          <w:szCs w:val="22"/>
        </w:rPr>
      </w:pPr>
      <w:r w:rsidRPr="0031417F">
        <w:rPr>
          <w:rFonts w:ascii="Arial" w:eastAsia="Calibri" w:hAnsi="Arial" w:cs="Arial"/>
          <w:sz w:val="22"/>
          <w:szCs w:val="22"/>
        </w:rPr>
        <w:tab/>
      </w:r>
    </w:p>
    <w:p w:rsidR="007474D9" w:rsidRPr="0031417F" w:rsidRDefault="00894FC2" w:rsidP="00894FC2">
      <w:pPr>
        <w:ind w:left="1440"/>
        <w:rPr>
          <w:rFonts w:ascii="Arial" w:eastAsia="Calibri" w:hAnsi="Arial" w:cs="Arial"/>
          <w:sz w:val="22"/>
          <w:szCs w:val="22"/>
        </w:rPr>
      </w:pPr>
      <w:r>
        <w:rPr>
          <w:rFonts w:ascii="Arial" w:eastAsia="Calibri" w:hAnsi="Arial" w:cs="Arial"/>
          <w:sz w:val="22"/>
          <w:szCs w:val="22"/>
        </w:rPr>
        <w:t xml:space="preserve">(005.05(A)) </w:t>
      </w:r>
      <w:r w:rsidR="00763497" w:rsidRPr="0031417F">
        <w:rPr>
          <w:rFonts w:ascii="Arial" w:eastAsia="Calibri" w:hAnsi="Arial" w:cs="Arial"/>
          <w:sz w:val="22"/>
          <w:szCs w:val="22"/>
        </w:rPr>
        <w:t>H</w:t>
      </w:r>
      <w:r w:rsidR="008E1E70" w:rsidRPr="0031417F">
        <w:rPr>
          <w:rFonts w:ascii="Arial" w:eastAsia="Calibri" w:hAnsi="Arial" w:cs="Arial"/>
          <w:sz w:val="22"/>
          <w:szCs w:val="22"/>
        </w:rPr>
        <w:t xml:space="preserve">ow oversight and </w:t>
      </w:r>
      <w:r w:rsidR="007474D9" w:rsidRPr="0031417F">
        <w:rPr>
          <w:rFonts w:ascii="Arial" w:eastAsia="Calibri" w:hAnsi="Arial" w:cs="Arial"/>
          <w:sz w:val="22"/>
          <w:szCs w:val="22"/>
        </w:rPr>
        <w:t xml:space="preserve">management responsibilities are </w:t>
      </w:r>
      <w:r w:rsidR="008E1E70" w:rsidRPr="0031417F">
        <w:rPr>
          <w:rFonts w:ascii="Arial" w:eastAsia="Calibri" w:hAnsi="Arial" w:cs="Arial"/>
          <w:sz w:val="22"/>
          <w:szCs w:val="22"/>
        </w:rPr>
        <w:t>delegated between the Board, its commit</w:t>
      </w:r>
      <w:r w:rsidR="007474D9" w:rsidRPr="0031417F">
        <w:rPr>
          <w:rFonts w:ascii="Arial" w:eastAsia="Calibri" w:hAnsi="Arial" w:cs="Arial"/>
          <w:sz w:val="22"/>
          <w:szCs w:val="22"/>
        </w:rPr>
        <w:t>tees and Senior Management</w:t>
      </w:r>
      <w:r w:rsidR="00BD1AF7" w:rsidRPr="0031417F">
        <w:rPr>
          <w:rFonts w:ascii="Arial" w:eastAsia="Calibri" w:hAnsi="Arial" w:cs="Arial"/>
          <w:sz w:val="22"/>
          <w:szCs w:val="22"/>
        </w:rPr>
        <w:t>;</w:t>
      </w:r>
    </w:p>
    <w:p w:rsidR="00BD1AF7" w:rsidRPr="0031417F" w:rsidRDefault="00BD1AF7" w:rsidP="007D00EE">
      <w:pPr>
        <w:ind w:left="1440"/>
        <w:rPr>
          <w:rFonts w:ascii="Arial" w:eastAsia="Calibri" w:hAnsi="Arial" w:cs="Arial"/>
          <w:sz w:val="22"/>
          <w:szCs w:val="22"/>
        </w:rPr>
      </w:pPr>
    </w:p>
    <w:p w:rsidR="00BD1AF7" w:rsidRDefault="00894FC2" w:rsidP="00894FC2">
      <w:pPr>
        <w:ind w:left="1440"/>
        <w:rPr>
          <w:rFonts w:ascii="Arial" w:eastAsia="Calibri" w:hAnsi="Arial" w:cs="Arial"/>
          <w:sz w:val="22"/>
          <w:szCs w:val="22"/>
        </w:rPr>
      </w:pPr>
      <w:r>
        <w:rPr>
          <w:rFonts w:ascii="Arial" w:eastAsia="Calibri" w:hAnsi="Arial" w:cs="Arial"/>
          <w:sz w:val="22"/>
          <w:szCs w:val="22"/>
        </w:rPr>
        <w:t xml:space="preserve">(005.05(B)) </w:t>
      </w:r>
      <w:r w:rsidR="00361BB3" w:rsidRPr="0031417F">
        <w:rPr>
          <w:rFonts w:ascii="Arial" w:eastAsia="Calibri" w:hAnsi="Arial" w:cs="Arial"/>
          <w:sz w:val="22"/>
          <w:szCs w:val="22"/>
        </w:rPr>
        <w:t>How the B</w:t>
      </w:r>
      <w:r w:rsidR="00BD1AF7" w:rsidRPr="0031417F">
        <w:rPr>
          <w:rFonts w:ascii="Arial" w:eastAsia="Calibri" w:hAnsi="Arial" w:cs="Arial"/>
          <w:sz w:val="22"/>
          <w:szCs w:val="22"/>
        </w:rPr>
        <w:t xml:space="preserve">oard is kept informed of the insurer’s strategic plans, the associated risks, and steps that </w:t>
      </w:r>
      <w:r w:rsidR="00C04545" w:rsidRPr="0031417F">
        <w:rPr>
          <w:rFonts w:ascii="Arial" w:eastAsia="Calibri" w:hAnsi="Arial" w:cs="Arial"/>
          <w:sz w:val="22"/>
          <w:szCs w:val="22"/>
        </w:rPr>
        <w:t>Senior M</w:t>
      </w:r>
      <w:r w:rsidR="00BD1AF7" w:rsidRPr="0031417F">
        <w:rPr>
          <w:rFonts w:ascii="Arial" w:eastAsia="Calibri" w:hAnsi="Arial" w:cs="Arial"/>
          <w:sz w:val="22"/>
          <w:szCs w:val="22"/>
        </w:rPr>
        <w:t>anagement is taking to monitor and manage those risks;</w:t>
      </w:r>
    </w:p>
    <w:p w:rsidR="00894FC2" w:rsidRPr="0031417F" w:rsidRDefault="00894FC2" w:rsidP="00894FC2">
      <w:pPr>
        <w:ind w:left="1440"/>
        <w:rPr>
          <w:rFonts w:ascii="Arial" w:eastAsia="Calibri" w:hAnsi="Arial" w:cs="Arial"/>
          <w:sz w:val="22"/>
          <w:szCs w:val="22"/>
        </w:rPr>
      </w:pPr>
    </w:p>
    <w:p w:rsidR="008E1E70" w:rsidRPr="0031417F" w:rsidRDefault="00894FC2" w:rsidP="00894FC2">
      <w:pPr>
        <w:ind w:left="1440"/>
        <w:rPr>
          <w:rFonts w:ascii="Arial" w:eastAsia="Calibri" w:hAnsi="Arial" w:cs="Arial"/>
          <w:strike/>
          <w:sz w:val="22"/>
          <w:szCs w:val="22"/>
        </w:rPr>
      </w:pPr>
      <w:r>
        <w:rPr>
          <w:rFonts w:ascii="Arial" w:eastAsia="Calibri" w:hAnsi="Arial" w:cs="Arial"/>
          <w:sz w:val="22"/>
          <w:szCs w:val="22"/>
        </w:rPr>
        <w:t xml:space="preserve">(005.05(C)) </w:t>
      </w:r>
      <w:r w:rsidR="00763497" w:rsidRPr="0031417F">
        <w:rPr>
          <w:rFonts w:ascii="Arial" w:eastAsia="Calibri" w:hAnsi="Arial" w:cs="Arial"/>
          <w:sz w:val="22"/>
          <w:szCs w:val="22"/>
        </w:rPr>
        <w:t>H</w:t>
      </w:r>
      <w:r w:rsidR="008E1E70" w:rsidRPr="0031417F">
        <w:rPr>
          <w:rFonts w:ascii="Arial" w:eastAsia="Calibri" w:hAnsi="Arial" w:cs="Arial"/>
          <w:sz w:val="22"/>
          <w:szCs w:val="22"/>
        </w:rPr>
        <w:t>ow reporting responsibilities are organized for each critical risk area</w:t>
      </w:r>
      <w:r w:rsidR="00BD1AF7" w:rsidRPr="0031417F">
        <w:rPr>
          <w:rFonts w:ascii="Arial" w:eastAsia="Calibri" w:hAnsi="Arial" w:cs="Arial"/>
          <w:color w:val="FF0000"/>
          <w:sz w:val="22"/>
          <w:szCs w:val="22"/>
        </w:rPr>
        <w:t xml:space="preserve">.  </w:t>
      </w:r>
      <w:r w:rsidR="00763497" w:rsidRPr="0031417F">
        <w:rPr>
          <w:rFonts w:ascii="Arial" w:eastAsia="Calibri" w:hAnsi="Arial" w:cs="Arial"/>
          <w:sz w:val="22"/>
          <w:szCs w:val="22"/>
        </w:rPr>
        <w:t>The description should allow</w:t>
      </w:r>
      <w:r w:rsidR="008E1E70" w:rsidRPr="0031417F">
        <w:rPr>
          <w:rFonts w:ascii="Arial" w:eastAsia="Calibri" w:hAnsi="Arial" w:cs="Arial"/>
          <w:sz w:val="22"/>
          <w:szCs w:val="22"/>
        </w:rPr>
        <w:t xml:space="preserve"> the </w:t>
      </w:r>
      <w:r w:rsidR="007E0247" w:rsidRPr="0031417F">
        <w:rPr>
          <w:rFonts w:ascii="Arial" w:eastAsia="Calibri" w:hAnsi="Arial" w:cs="Arial"/>
          <w:sz w:val="22"/>
          <w:szCs w:val="22"/>
        </w:rPr>
        <w:t>Director</w:t>
      </w:r>
      <w:r w:rsidR="008E1E70" w:rsidRPr="0031417F">
        <w:rPr>
          <w:rFonts w:ascii="Arial" w:eastAsia="Calibri" w:hAnsi="Arial" w:cs="Arial"/>
          <w:sz w:val="22"/>
          <w:szCs w:val="22"/>
        </w:rPr>
        <w:t xml:space="preserve"> </w:t>
      </w:r>
      <w:r w:rsidR="00763497" w:rsidRPr="0031417F">
        <w:rPr>
          <w:rFonts w:ascii="Arial" w:eastAsia="Calibri" w:hAnsi="Arial" w:cs="Arial"/>
          <w:sz w:val="22"/>
          <w:szCs w:val="22"/>
        </w:rPr>
        <w:t>to understand</w:t>
      </w:r>
      <w:r w:rsidR="008E1E70" w:rsidRPr="0031417F">
        <w:rPr>
          <w:rFonts w:ascii="Arial" w:eastAsia="Calibri" w:hAnsi="Arial" w:cs="Arial"/>
          <w:sz w:val="22"/>
          <w:szCs w:val="22"/>
        </w:rPr>
        <w:t xml:space="preserve"> the frequency at which information on each critical risk area is reported to and reviewed by </w:t>
      </w:r>
      <w:r w:rsidR="00C04545" w:rsidRPr="0031417F">
        <w:rPr>
          <w:rFonts w:ascii="Arial" w:eastAsia="Calibri" w:hAnsi="Arial" w:cs="Arial"/>
          <w:sz w:val="22"/>
          <w:szCs w:val="22"/>
        </w:rPr>
        <w:t>S</w:t>
      </w:r>
      <w:r w:rsidR="008E1E70" w:rsidRPr="0031417F">
        <w:rPr>
          <w:rFonts w:ascii="Arial" w:eastAsia="Calibri" w:hAnsi="Arial" w:cs="Arial"/>
          <w:sz w:val="22"/>
          <w:szCs w:val="22"/>
        </w:rPr>
        <w:t xml:space="preserve">enior </w:t>
      </w:r>
      <w:r w:rsidR="00C04545" w:rsidRPr="0031417F">
        <w:rPr>
          <w:rFonts w:ascii="Arial" w:eastAsia="Calibri" w:hAnsi="Arial" w:cs="Arial"/>
          <w:sz w:val="22"/>
          <w:szCs w:val="22"/>
        </w:rPr>
        <w:t>M</w:t>
      </w:r>
      <w:r w:rsidR="008E1E70" w:rsidRPr="0031417F">
        <w:rPr>
          <w:rFonts w:ascii="Arial" w:eastAsia="Calibri" w:hAnsi="Arial" w:cs="Arial"/>
          <w:sz w:val="22"/>
          <w:szCs w:val="22"/>
        </w:rPr>
        <w:t xml:space="preserve">anagement and the Board. This description may </w:t>
      </w:r>
      <w:r w:rsidR="00952D9D" w:rsidRPr="0031417F">
        <w:rPr>
          <w:rFonts w:ascii="Arial" w:eastAsia="Calibri" w:hAnsi="Arial" w:cs="Arial"/>
          <w:sz w:val="22"/>
          <w:szCs w:val="22"/>
        </w:rPr>
        <w:t>include</w:t>
      </w:r>
      <w:r w:rsidR="008E1E70" w:rsidRPr="0031417F">
        <w:rPr>
          <w:rFonts w:ascii="Arial" w:eastAsia="Calibri" w:hAnsi="Arial" w:cs="Arial"/>
          <w:sz w:val="22"/>
          <w:szCs w:val="22"/>
        </w:rPr>
        <w:t xml:space="preserve">, </w:t>
      </w:r>
      <w:r w:rsidR="0097300A" w:rsidRPr="0031417F">
        <w:rPr>
          <w:rFonts w:ascii="Arial" w:eastAsia="Calibri" w:hAnsi="Arial" w:cs="Arial"/>
          <w:sz w:val="22"/>
          <w:szCs w:val="22"/>
        </w:rPr>
        <w:t>for example</w:t>
      </w:r>
      <w:r w:rsidR="008E1E70" w:rsidRPr="0031417F">
        <w:rPr>
          <w:rFonts w:ascii="Arial" w:eastAsia="Calibri" w:hAnsi="Arial" w:cs="Arial"/>
          <w:sz w:val="22"/>
          <w:szCs w:val="22"/>
        </w:rPr>
        <w:t xml:space="preserve">, the following critical risk areas of the </w:t>
      </w:r>
      <w:r w:rsidR="00924C23" w:rsidRPr="0031417F">
        <w:rPr>
          <w:rFonts w:ascii="Arial" w:eastAsia="Calibri" w:hAnsi="Arial" w:cs="Arial"/>
          <w:sz w:val="22"/>
          <w:szCs w:val="22"/>
        </w:rPr>
        <w:t>insurer</w:t>
      </w:r>
      <w:r w:rsidR="008E1E70" w:rsidRPr="0031417F">
        <w:rPr>
          <w:rFonts w:ascii="Arial" w:eastAsia="Calibri" w:hAnsi="Arial" w:cs="Arial"/>
          <w:sz w:val="22"/>
          <w:szCs w:val="22"/>
        </w:rPr>
        <w:t>:</w:t>
      </w:r>
    </w:p>
    <w:p w:rsidR="008E1E70" w:rsidRPr="0031417F" w:rsidRDefault="008E1E70" w:rsidP="007D00EE">
      <w:pPr>
        <w:tabs>
          <w:tab w:val="num" w:pos="1985"/>
        </w:tabs>
        <w:rPr>
          <w:rFonts w:ascii="Arial" w:eastAsia="Calibri" w:hAnsi="Arial" w:cs="Arial"/>
          <w:sz w:val="22"/>
          <w:szCs w:val="22"/>
        </w:rPr>
      </w:pPr>
    </w:p>
    <w:p w:rsidR="00763497" w:rsidRPr="0031417F" w:rsidRDefault="00894FC2" w:rsidP="00894FC2">
      <w:pPr>
        <w:ind w:left="1440" w:firstLine="720"/>
        <w:rPr>
          <w:rFonts w:ascii="Arial" w:eastAsia="Calibri" w:hAnsi="Arial" w:cs="Arial"/>
          <w:sz w:val="22"/>
          <w:szCs w:val="22"/>
        </w:rPr>
      </w:pPr>
      <w:r>
        <w:rPr>
          <w:rFonts w:ascii="Arial" w:eastAsia="Calibri" w:hAnsi="Arial" w:cs="Arial"/>
          <w:sz w:val="22"/>
          <w:szCs w:val="22"/>
        </w:rPr>
        <w:t xml:space="preserve">(005.05(C)(1)) </w:t>
      </w:r>
      <w:r w:rsidR="008E1E70" w:rsidRPr="0031417F">
        <w:rPr>
          <w:rFonts w:ascii="Arial" w:eastAsia="Calibri" w:hAnsi="Arial" w:cs="Arial"/>
          <w:sz w:val="22"/>
          <w:szCs w:val="22"/>
        </w:rPr>
        <w:t>Risk management processes (</w:t>
      </w:r>
      <w:r w:rsidR="0097300A" w:rsidRPr="0031417F">
        <w:rPr>
          <w:rFonts w:ascii="Arial" w:eastAsia="Calibri" w:hAnsi="Arial" w:cs="Arial"/>
          <w:sz w:val="22"/>
          <w:szCs w:val="22"/>
        </w:rPr>
        <w:t xml:space="preserve">An </w:t>
      </w:r>
      <w:r w:rsidR="00601B63" w:rsidRPr="0031417F">
        <w:rPr>
          <w:rFonts w:ascii="Arial" w:eastAsia="Calibri" w:hAnsi="Arial" w:cs="Arial"/>
          <w:sz w:val="22"/>
          <w:szCs w:val="22"/>
        </w:rPr>
        <w:t xml:space="preserve">own risk solvency </w:t>
      </w:r>
      <w:r>
        <w:rPr>
          <w:rFonts w:ascii="Arial" w:eastAsia="Calibri" w:hAnsi="Arial" w:cs="Arial"/>
          <w:sz w:val="22"/>
          <w:szCs w:val="22"/>
        </w:rPr>
        <w:tab/>
      </w:r>
      <w:r w:rsidR="00601B63" w:rsidRPr="0031417F">
        <w:rPr>
          <w:rFonts w:ascii="Arial" w:eastAsia="Calibri" w:hAnsi="Arial" w:cs="Arial"/>
          <w:sz w:val="22"/>
          <w:szCs w:val="22"/>
        </w:rPr>
        <w:t>assessment summary report</w:t>
      </w:r>
      <w:r w:rsidR="008E1E70" w:rsidRPr="0031417F">
        <w:rPr>
          <w:rFonts w:ascii="Arial" w:eastAsia="Calibri" w:hAnsi="Arial" w:cs="Arial"/>
          <w:sz w:val="22"/>
          <w:szCs w:val="22"/>
        </w:rPr>
        <w:t xml:space="preserve"> filer may</w:t>
      </w:r>
      <w:r w:rsidR="0097300A" w:rsidRPr="0031417F">
        <w:rPr>
          <w:rFonts w:ascii="Arial" w:eastAsia="Calibri" w:hAnsi="Arial" w:cs="Arial"/>
          <w:sz w:val="22"/>
          <w:szCs w:val="22"/>
        </w:rPr>
        <w:t xml:space="preserve"> refer to its </w:t>
      </w:r>
      <w:r w:rsidR="00601B63" w:rsidRPr="0031417F">
        <w:rPr>
          <w:rFonts w:ascii="Arial" w:eastAsia="Calibri" w:hAnsi="Arial" w:cs="Arial"/>
          <w:sz w:val="22"/>
          <w:szCs w:val="22"/>
        </w:rPr>
        <w:t xml:space="preserve">own risk solvency </w:t>
      </w:r>
      <w:r>
        <w:rPr>
          <w:rFonts w:ascii="Arial" w:eastAsia="Calibri" w:hAnsi="Arial" w:cs="Arial"/>
          <w:sz w:val="22"/>
          <w:szCs w:val="22"/>
        </w:rPr>
        <w:tab/>
      </w:r>
      <w:r w:rsidR="00601B63" w:rsidRPr="0031417F">
        <w:rPr>
          <w:rFonts w:ascii="Arial" w:eastAsia="Calibri" w:hAnsi="Arial" w:cs="Arial"/>
          <w:sz w:val="22"/>
          <w:szCs w:val="22"/>
        </w:rPr>
        <w:t>assessment s</w:t>
      </w:r>
      <w:r w:rsidR="0097300A" w:rsidRPr="0031417F">
        <w:rPr>
          <w:rFonts w:ascii="Arial" w:eastAsia="Calibri" w:hAnsi="Arial" w:cs="Arial"/>
          <w:sz w:val="22"/>
          <w:szCs w:val="22"/>
        </w:rPr>
        <w:t xml:space="preserve">ummary </w:t>
      </w:r>
      <w:r w:rsidR="00601B63" w:rsidRPr="0031417F">
        <w:rPr>
          <w:rFonts w:ascii="Arial" w:eastAsia="Calibri" w:hAnsi="Arial" w:cs="Arial"/>
          <w:sz w:val="22"/>
          <w:szCs w:val="22"/>
        </w:rPr>
        <w:t>r</w:t>
      </w:r>
      <w:r w:rsidR="0097300A" w:rsidRPr="0031417F">
        <w:rPr>
          <w:rFonts w:ascii="Arial" w:eastAsia="Calibri" w:hAnsi="Arial" w:cs="Arial"/>
          <w:sz w:val="22"/>
          <w:szCs w:val="22"/>
        </w:rPr>
        <w:t>eport</w:t>
      </w:r>
      <w:r w:rsidR="008922AA" w:rsidRPr="0031417F">
        <w:rPr>
          <w:rFonts w:ascii="Arial" w:eastAsia="Calibri" w:hAnsi="Arial" w:cs="Arial"/>
          <w:sz w:val="22"/>
          <w:szCs w:val="22"/>
        </w:rPr>
        <w:t xml:space="preserve"> pursuant to the Risk Management and Own </w:t>
      </w:r>
      <w:r>
        <w:rPr>
          <w:rFonts w:ascii="Arial" w:eastAsia="Calibri" w:hAnsi="Arial" w:cs="Arial"/>
          <w:sz w:val="22"/>
          <w:szCs w:val="22"/>
        </w:rPr>
        <w:tab/>
      </w:r>
      <w:r w:rsidR="008922AA" w:rsidRPr="0031417F">
        <w:rPr>
          <w:rFonts w:ascii="Arial" w:eastAsia="Calibri" w:hAnsi="Arial" w:cs="Arial"/>
          <w:sz w:val="22"/>
          <w:szCs w:val="22"/>
        </w:rPr>
        <w:t>Risk and Solvency Assessment Act</w:t>
      </w:r>
      <w:r w:rsidR="00601B63" w:rsidRPr="0031417F">
        <w:rPr>
          <w:rFonts w:ascii="Arial" w:eastAsia="Calibri" w:hAnsi="Arial" w:cs="Arial"/>
          <w:sz w:val="22"/>
          <w:szCs w:val="22"/>
        </w:rPr>
        <w:t xml:space="preserve">, </w:t>
      </w:r>
      <w:r w:rsidR="00601B63" w:rsidRPr="0031417F">
        <w:rPr>
          <w:rFonts w:ascii="Arial" w:eastAsia="Calibri" w:hAnsi="Arial" w:cs="Arial"/>
          <w:sz w:val="22"/>
          <w:szCs w:val="22"/>
          <w:u w:val="single"/>
        </w:rPr>
        <w:t>Neb. Rev. Stat.</w:t>
      </w:r>
      <w:r w:rsidR="00601B63" w:rsidRPr="0031417F">
        <w:rPr>
          <w:rFonts w:ascii="Arial" w:eastAsia="Calibri" w:hAnsi="Arial" w:cs="Arial"/>
          <w:sz w:val="22"/>
          <w:szCs w:val="22"/>
        </w:rPr>
        <w:t xml:space="preserve"> §§ 44-9001 through </w:t>
      </w:r>
      <w:r>
        <w:rPr>
          <w:rFonts w:ascii="Arial" w:eastAsia="Calibri" w:hAnsi="Arial" w:cs="Arial"/>
          <w:sz w:val="22"/>
          <w:szCs w:val="22"/>
        </w:rPr>
        <w:tab/>
      </w:r>
      <w:r w:rsidR="00601B63" w:rsidRPr="0031417F">
        <w:rPr>
          <w:rFonts w:ascii="Arial" w:eastAsia="Calibri" w:hAnsi="Arial" w:cs="Arial"/>
          <w:sz w:val="22"/>
          <w:szCs w:val="22"/>
        </w:rPr>
        <w:t>44-9011</w:t>
      </w:r>
      <w:r w:rsidR="008E1E70" w:rsidRPr="0031417F">
        <w:rPr>
          <w:rFonts w:ascii="Arial" w:eastAsia="Calibri" w:hAnsi="Arial" w:cs="Arial"/>
          <w:sz w:val="22"/>
          <w:szCs w:val="22"/>
        </w:rPr>
        <w:t>)</w:t>
      </w:r>
      <w:r w:rsidR="00C126B5" w:rsidRPr="0031417F">
        <w:rPr>
          <w:rFonts w:ascii="Arial" w:eastAsia="Calibri" w:hAnsi="Arial" w:cs="Arial"/>
          <w:sz w:val="22"/>
          <w:szCs w:val="22"/>
        </w:rPr>
        <w:t>;</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(005.05(C)(2)) </w:t>
      </w:r>
      <w:r w:rsidR="008E1E70" w:rsidRPr="0031417F">
        <w:rPr>
          <w:rFonts w:ascii="Arial" w:eastAsia="Calibri" w:hAnsi="Arial" w:cs="Arial"/>
          <w:sz w:val="22"/>
          <w:szCs w:val="22"/>
        </w:rPr>
        <w:t>Actuarial function</w:t>
      </w:r>
      <w:r w:rsidR="00C126B5" w:rsidRPr="0031417F">
        <w:rPr>
          <w:rFonts w:ascii="Arial" w:eastAsia="Calibri" w:hAnsi="Arial" w:cs="Arial"/>
          <w:sz w:val="22"/>
          <w:szCs w:val="22"/>
        </w:rPr>
        <w:t>;</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(005.05(C)(3)) </w:t>
      </w:r>
      <w:r w:rsidR="008E1E70" w:rsidRPr="0031417F">
        <w:rPr>
          <w:rFonts w:ascii="Arial" w:eastAsia="Calibri" w:hAnsi="Arial" w:cs="Arial"/>
          <w:sz w:val="22"/>
          <w:szCs w:val="22"/>
        </w:rPr>
        <w:t>Investment decision-making processes</w:t>
      </w:r>
      <w:r w:rsidR="00C126B5" w:rsidRPr="0031417F">
        <w:rPr>
          <w:rFonts w:ascii="Arial" w:eastAsia="Calibri" w:hAnsi="Arial" w:cs="Arial"/>
          <w:sz w:val="22"/>
          <w:szCs w:val="22"/>
        </w:rPr>
        <w:t>;</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(005.05(C)(4)) </w:t>
      </w:r>
      <w:r w:rsidR="008E1E70" w:rsidRPr="0031417F">
        <w:rPr>
          <w:rFonts w:ascii="Arial" w:eastAsia="Calibri" w:hAnsi="Arial" w:cs="Arial"/>
          <w:sz w:val="22"/>
          <w:szCs w:val="22"/>
        </w:rPr>
        <w:t>Reinsurance decision-making processes</w:t>
      </w:r>
      <w:r w:rsidR="00C126B5" w:rsidRPr="0031417F">
        <w:rPr>
          <w:rFonts w:ascii="Arial" w:eastAsia="Calibri" w:hAnsi="Arial" w:cs="Arial"/>
          <w:sz w:val="22"/>
          <w:szCs w:val="22"/>
        </w:rPr>
        <w:t>;</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(005.05(C)(5)) </w:t>
      </w:r>
      <w:r w:rsidR="008E1E70" w:rsidRPr="0031417F">
        <w:rPr>
          <w:rFonts w:ascii="Arial" w:eastAsia="Calibri" w:hAnsi="Arial" w:cs="Arial"/>
          <w:sz w:val="22"/>
          <w:szCs w:val="22"/>
        </w:rPr>
        <w:t>Business strategy/finance decision-making processes</w:t>
      </w:r>
      <w:r w:rsidR="00E06D30" w:rsidRPr="0031417F">
        <w:rPr>
          <w:rFonts w:ascii="Arial" w:eastAsia="Calibri" w:hAnsi="Arial" w:cs="Arial"/>
          <w:sz w:val="22"/>
          <w:szCs w:val="22"/>
        </w:rPr>
        <w:t>;</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440" w:firstLine="720"/>
        <w:rPr>
          <w:rFonts w:ascii="Arial" w:eastAsia="Calibri" w:hAnsi="Arial" w:cs="Arial"/>
          <w:sz w:val="22"/>
          <w:szCs w:val="22"/>
        </w:rPr>
      </w:pPr>
      <w:r>
        <w:rPr>
          <w:rFonts w:ascii="Arial" w:eastAsia="Calibri" w:hAnsi="Arial" w:cs="Arial"/>
          <w:sz w:val="22"/>
          <w:szCs w:val="22"/>
        </w:rPr>
        <w:t xml:space="preserve">(005.05(C)(6)) </w:t>
      </w:r>
      <w:r w:rsidR="008E1E70" w:rsidRPr="0031417F">
        <w:rPr>
          <w:rFonts w:ascii="Arial" w:eastAsia="Calibri" w:hAnsi="Arial" w:cs="Arial"/>
          <w:sz w:val="22"/>
          <w:szCs w:val="22"/>
        </w:rPr>
        <w:t>Compliance function</w:t>
      </w:r>
      <w:r w:rsidR="00C126B5" w:rsidRPr="0031417F">
        <w:rPr>
          <w:rFonts w:ascii="Arial" w:eastAsia="Calibri" w:hAnsi="Arial" w:cs="Arial"/>
          <w:sz w:val="22"/>
          <w:szCs w:val="22"/>
        </w:rPr>
        <w:t>;</w:t>
      </w:r>
    </w:p>
    <w:p w:rsidR="00426679" w:rsidRPr="0031417F" w:rsidRDefault="00426679" w:rsidP="007D00EE">
      <w:pPr>
        <w:ind w:left="1800"/>
        <w:rPr>
          <w:rFonts w:ascii="Arial" w:eastAsia="Calibri" w:hAnsi="Arial" w:cs="Arial"/>
          <w:sz w:val="22"/>
          <w:szCs w:val="22"/>
        </w:rPr>
      </w:pPr>
    </w:p>
    <w:p w:rsidR="00763497" w:rsidRPr="0031417F"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(005.05(C)(7)) </w:t>
      </w:r>
      <w:r w:rsidR="008E1E70" w:rsidRPr="0031417F">
        <w:rPr>
          <w:rFonts w:ascii="Arial" w:eastAsia="Calibri" w:hAnsi="Arial" w:cs="Arial"/>
          <w:sz w:val="22"/>
          <w:szCs w:val="22"/>
        </w:rPr>
        <w:t>Financial reporting/internal audit</w:t>
      </w:r>
      <w:r w:rsidR="00C04545" w:rsidRPr="0031417F">
        <w:rPr>
          <w:rFonts w:ascii="Arial" w:eastAsia="Calibri" w:hAnsi="Arial" w:cs="Arial"/>
          <w:sz w:val="22"/>
          <w:szCs w:val="22"/>
        </w:rPr>
        <w:t>ing</w:t>
      </w:r>
      <w:r w:rsidR="00C126B5" w:rsidRPr="0031417F">
        <w:rPr>
          <w:rFonts w:ascii="Arial" w:eastAsia="Calibri" w:hAnsi="Arial" w:cs="Arial"/>
          <w:sz w:val="22"/>
          <w:szCs w:val="22"/>
        </w:rPr>
        <w:t>; and</w:t>
      </w:r>
    </w:p>
    <w:p w:rsidR="00426679" w:rsidRPr="0031417F" w:rsidRDefault="00426679" w:rsidP="007D00EE">
      <w:pPr>
        <w:ind w:left="1800"/>
        <w:rPr>
          <w:rFonts w:ascii="Arial" w:eastAsia="Calibri" w:hAnsi="Arial" w:cs="Arial"/>
          <w:sz w:val="22"/>
          <w:szCs w:val="22"/>
        </w:rPr>
      </w:pPr>
    </w:p>
    <w:p w:rsidR="008E1E70" w:rsidRDefault="00894FC2" w:rsidP="00894FC2">
      <w:pPr>
        <w:ind w:left="1800" w:firstLine="360"/>
        <w:rPr>
          <w:rFonts w:ascii="Arial" w:eastAsia="Calibri" w:hAnsi="Arial" w:cs="Arial"/>
          <w:sz w:val="22"/>
          <w:szCs w:val="22"/>
        </w:rPr>
      </w:pPr>
      <w:r>
        <w:rPr>
          <w:rFonts w:ascii="Arial" w:eastAsia="Calibri" w:hAnsi="Arial" w:cs="Arial"/>
          <w:sz w:val="22"/>
          <w:szCs w:val="22"/>
        </w:rPr>
        <w:t xml:space="preserve">(005.05(C)(8)) </w:t>
      </w:r>
      <w:r w:rsidR="008E1E70" w:rsidRPr="0031417F">
        <w:rPr>
          <w:rFonts w:ascii="Arial" w:eastAsia="Calibri" w:hAnsi="Arial" w:cs="Arial"/>
          <w:sz w:val="22"/>
          <w:szCs w:val="22"/>
        </w:rPr>
        <w:t>Market conduct decision-making process</w:t>
      </w:r>
      <w:r w:rsidR="00F95744" w:rsidRPr="0031417F">
        <w:rPr>
          <w:rFonts w:ascii="Arial" w:eastAsia="Calibri" w:hAnsi="Arial" w:cs="Arial"/>
          <w:sz w:val="22"/>
          <w:szCs w:val="22"/>
        </w:rPr>
        <w:t>es</w:t>
      </w:r>
      <w:r w:rsidR="008E1E70" w:rsidRPr="0031417F">
        <w:rPr>
          <w:rFonts w:ascii="Arial" w:eastAsia="Calibri" w:hAnsi="Arial" w:cs="Arial"/>
          <w:sz w:val="22"/>
          <w:szCs w:val="22"/>
        </w:rPr>
        <w:t>.</w:t>
      </w:r>
    </w:p>
    <w:p w:rsidR="00894FC2" w:rsidRPr="0031417F" w:rsidRDefault="00894FC2" w:rsidP="00894FC2">
      <w:pPr>
        <w:ind w:left="1800" w:firstLine="360"/>
        <w:rPr>
          <w:rFonts w:ascii="Arial" w:eastAsia="Calibri" w:hAnsi="Arial" w:cs="Arial"/>
          <w:sz w:val="22"/>
          <w:szCs w:val="22"/>
        </w:rPr>
      </w:pPr>
    </w:p>
    <w:p w:rsidR="00E85190" w:rsidRPr="0031417F" w:rsidRDefault="00E85190" w:rsidP="007D00EE">
      <w:pPr>
        <w:spacing w:line="240" w:lineRule="atLeast"/>
        <w:rPr>
          <w:rFonts w:ascii="Arial" w:hAnsi="Arial" w:cs="Arial"/>
          <w:b/>
          <w:sz w:val="22"/>
          <w:szCs w:val="22"/>
        </w:rPr>
      </w:pPr>
    </w:p>
    <w:p w:rsidR="00E85190" w:rsidRPr="0031417F" w:rsidRDefault="007D00EE" w:rsidP="007D00EE">
      <w:pPr>
        <w:spacing w:line="240" w:lineRule="atLeast"/>
        <w:rPr>
          <w:rFonts w:ascii="Arial" w:hAnsi="Arial" w:cs="Arial"/>
          <w:sz w:val="22"/>
          <w:szCs w:val="22"/>
        </w:rPr>
      </w:pPr>
      <w:r>
        <w:rPr>
          <w:rFonts w:ascii="Arial" w:hAnsi="Arial" w:cs="Arial"/>
          <w:b/>
          <w:sz w:val="22"/>
          <w:szCs w:val="22"/>
        </w:rPr>
        <w:t>00</w:t>
      </w:r>
      <w:r w:rsidR="00E85190" w:rsidRPr="0031417F">
        <w:rPr>
          <w:rFonts w:ascii="Arial" w:hAnsi="Arial" w:cs="Arial"/>
          <w:b/>
          <w:sz w:val="22"/>
          <w:szCs w:val="22"/>
        </w:rPr>
        <w:t>6.</w:t>
      </w:r>
      <w:r w:rsidR="00E85190" w:rsidRPr="0031417F">
        <w:rPr>
          <w:rFonts w:ascii="Arial" w:hAnsi="Arial" w:cs="Arial"/>
          <w:b/>
          <w:sz w:val="22"/>
          <w:szCs w:val="22"/>
        </w:rPr>
        <w:tab/>
        <w:t>Severability Clause</w:t>
      </w:r>
    </w:p>
    <w:p w:rsidR="00E85190" w:rsidRPr="0031417F" w:rsidRDefault="00E85190" w:rsidP="007D00EE">
      <w:pPr>
        <w:spacing w:line="240" w:lineRule="atLeast"/>
        <w:rPr>
          <w:rFonts w:ascii="Arial" w:hAnsi="Arial" w:cs="Arial"/>
          <w:sz w:val="22"/>
          <w:szCs w:val="22"/>
        </w:rPr>
      </w:pPr>
    </w:p>
    <w:p w:rsidR="00F01E3A" w:rsidRPr="0031417F" w:rsidRDefault="00E85190" w:rsidP="007D00EE">
      <w:pPr>
        <w:spacing w:line="240" w:lineRule="atLeast"/>
        <w:rPr>
          <w:rFonts w:ascii="Arial" w:hAnsi="Arial" w:cs="Arial"/>
          <w:sz w:val="22"/>
          <w:szCs w:val="22"/>
        </w:rPr>
      </w:pPr>
      <w:r w:rsidRPr="0031417F">
        <w:rPr>
          <w:rFonts w:ascii="Arial" w:hAnsi="Arial" w:cs="Arial"/>
          <w:sz w:val="22"/>
          <w:szCs w:val="22"/>
        </w:rPr>
        <w:t>If any provision of these regulations, or the application thereof to any person or circumstance, is held invalid, such determination shall not affect other provisions or applications of these regulations which can be given effect without the invalid provision or application, and to that end the provisions of these regulations are severale.</w:t>
      </w:r>
      <w:r w:rsidR="007E0247" w:rsidRPr="0031417F">
        <w:rPr>
          <w:rFonts w:ascii="Arial" w:hAnsi="Arial" w:cs="Arial"/>
          <w:sz w:val="22"/>
          <w:szCs w:val="22"/>
        </w:rPr>
        <w:t xml:space="preserve"> </w:t>
      </w:r>
    </w:p>
    <w:p w:rsidR="00F01E3A" w:rsidRPr="0031417F" w:rsidRDefault="00F01E3A" w:rsidP="007D00EE">
      <w:pPr>
        <w:spacing w:line="240" w:lineRule="atLeast"/>
        <w:rPr>
          <w:rFonts w:ascii="Arial" w:hAnsi="Arial" w:cs="Arial"/>
          <w:sz w:val="22"/>
          <w:szCs w:val="22"/>
        </w:rPr>
      </w:pPr>
    </w:p>
    <w:sectPr w:rsidR="00F01E3A" w:rsidRPr="0031417F" w:rsidSect="00CA2DF2">
      <w:headerReference w:type="even" r:id="rId9"/>
      <w:headerReference w:type="default" r:id="rId10"/>
      <w:footerReference w:type="even" r:id="rId11"/>
      <w:footerReference w:type="default" r:id="rId12"/>
      <w:pgSz w:w="12240" w:h="15840" w:code="1"/>
      <w:pgMar w:top="1440" w:right="1440" w:bottom="1440" w:left="1440" w:header="1080" w:footer="10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22" w:rsidRDefault="00B51222">
      <w:r>
        <w:separator/>
      </w:r>
    </w:p>
  </w:endnote>
  <w:endnote w:type="continuationSeparator" w:id="0">
    <w:p w:rsidR="00B51222" w:rsidRDefault="00B5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18" w:rsidRDefault="00D13894" w:rsidP="00530C59">
    <w:pPr>
      <w:pStyle w:val="Footer"/>
      <w:tabs>
        <w:tab w:val="clear" w:pos="4320"/>
        <w:tab w:val="clear" w:pos="8640"/>
        <w:tab w:val="right" w:pos="9360"/>
      </w:tabs>
    </w:pPr>
    <w:r>
      <w:rPr>
        <w:rFonts w:ascii="Times New Roman" w:hAnsi="Times New Roman"/>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01" w:rsidRPr="00530C59" w:rsidRDefault="00EF4B01" w:rsidP="00530C59">
    <w:pPr>
      <w:pStyle w:val="Footer"/>
      <w:tabs>
        <w:tab w:val="clear" w:pos="4320"/>
        <w:tab w:val="clear" w:pos="8640"/>
        <w:tab w:val="right" w:pos="9270"/>
      </w:tabs>
      <w:rPr>
        <w:rFonts w:ascii="Century Schoolbook" w:hAnsi="Century School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22" w:rsidRDefault="00B51222">
      <w:r>
        <w:separator/>
      </w:r>
    </w:p>
  </w:footnote>
  <w:footnote w:type="continuationSeparator" w:id="0">
    <w:p w:rsidR="00B51222" w:rsidRDefault="00B5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59" w:rsidRPr="00530C59" w:rsidRDefault="00530C59" w:rsidP="00530C59">
    <w:pPr>
      <w:pStyle w:val="Header"/>
      <w:jc w:val="center"/>
      <w:rPr>
        <w:rFonts w:ascii="Century Schoolbook" w:hAnsi="Century School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59" w:rsidRPr="00530C59" w:rsidRDefault="00530C59" w:rsidP="00530C59">
    <w:pPr>
      <w:spacing w:line="240" w:lineRule="atLeast"/>
      <w:jc w:val="center"/>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1B"/>
    <w:multiLevelType w:val="hybridMultilevel"/>
    <w:tmpl w:val="C46029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63161"/>
    <w:multiLevelType w:val="hybridMultilevel"/>
    <w:tmpl w:val="0A42C64C"/>
    <w:lvl w:ilvl="0" w:tplc="261C71F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782"/>
    <w:multiLevelType w:val="hybridMultilevel"/>
    <w:tmpl w:val="36888ED0"/>
    <w:lvl w:ilvl="0" w:tplc="A0BCB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A57E5"/>
    <w:multiLevelType w:val="hybridMultilevel"/>
    <w:tmpl w:val="E696A932"/>
    <w:lvl w:ilvl="0" w:tplc="387AEE9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B50B4"/>
    <w:multiLevelType w:val="hybridMultilevel"/>
    <w:tmpl w:val="4DBEEF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A50E7B"/>
    <w:multiLevelType w:val="hybridMultilevel"/>
    <w:tmpl w:val="B678A66A"/>
    <w:lvl w:ilvl="0" w:tplc="CBDC3C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D248E8"/>
    <w:multiLevelType w:val="hybridMultilevel"/>
    <w:tmpl w:val="45EE0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FF503D"/>
    <w:multiLevelType w:val="hybridMultilevel"/>
    <w:tmpl w:val="64A44E98"/>
    <w:lvl w:ilvl="0" w:tplc="CB169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2587E"/>
    <w:multiLevelType w:val="hybridMultilevel"/>
    <w:tmpl w:val="CB28390E"/>
    <w:lvl w:ilvl="0" w:tplc="EA1CC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4A1791"/>
    <w:multiLevelType w:val="hybridMultilevel"/>
    <w:tmpl w:val="AECEAC6C"/>
    <w:lvl w:ilvl="0" w:tplc="62220A48">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B43EB4"/>
    <w:multiLevelType w:val="hybridMultilevel"/>
    <w:tmpl w:val="9BCEA0D8"/>
    <w:lvl w:ilvl="0" w:tplc="FF9E1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DD2EC4"/>
    <w:multiLevelType w:val="hybridMultilevel"/>
    <w:tmpl w:val="4D58B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810B1"/>
    <w:multiLevelType w:val="hybridMultilevel"/>
    <w:tmpl w:val="F5A8CCF2"/>
    <w:lvl w:ilvl="0" w:tplc="0ED43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CC5D17"/>
    <w:multiLevelType w:val="hybridMultilevel"/>
    <w:tmpl w:val="7D968342"/>
    <w:lvl w:ilvl="0" w:tplc="FF9E1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7C0157"/>
    <w:multiLevelType w:val="hybridMultilevel"/>
    <w:tmpl w:val="720A5256"/>
    <w:lvl w:ilvl="0" w:tplc="E4F8987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7A6705"/>
    <w:multiLevelType w:val="hybridMultilevel"/>
    <w:tmpl w:val="08D4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47676"/>
    <w:multiLevelType w:val="hybridMultilevel"/>
    <w:tmpl w:val="A51CB212"/>
    <w:lvl w:ilvl="0" w:tplc="FF9E18B2">
      <w:start w:val="1"/>
      <w:numFmt w:val="lowerLetter"/>
      <w:lvlText w:val="(%1)"/>
      <w:lvlJc w:val="left"/>
      <w:pPr>
        <w:ind w:left="2160" w:hanging="360"/>
      </w:pPr>
      <w:rPr>
        <w:rFonts w:hint="default"/>
      </w:rPr>
    </w:lvl>
    <w:lvl w:ilvl="1" w:tplc="FF9E18B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3773E98"/>
    <w:multiLevelType w:val="hybridMultilevel"/>
    <w:tmpl w:val="44922A0E"/>
    <w:lvl w:ilvl="0" w:tplc="DF9275F6">
      <w:start w:val="2"/>
      <w:numFmt w:val="decimal"/>
      <w:lvlText w:val="(%1)"/>
      <w:lvlJc w:val="left"/>
      <w:pPr>
        <w:ind w:left="1080" w:hanging="360"/>
      </w:pPr>
      <w:rPr>
        <w:rFonts w:hint="default"/>
      </w:rPr>
    </w:lvl>
    <w:lvl w:ilvl="1" w:tplc="FF9E18B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317552"/>
    <w:multiLevelType w:val="hybridMultilevel"/>
    <w:tmpl w:val="EF7ABF98"/>
    <w:lvl w:ilvl="0" w:tplc="24CAA5BC">
      <w:start w:val="1"/>
      <w:numFmt w:val="decimal"/>
      <w:lvlText w:val="(%1)"/>
      <w:lvlJc w:val="left"/>
      <w:pPr>
        <w:ind w:left="1080" w:hanging="360"/>
      </w:pPr>
      <w:rPr>
        <w:rFonts w:hint="default"/>
      </w:rPr>
    </w:lvl>
    <w:lvl w:ilvl="1" w:tplc="FF9E18B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9C4D0B"/>
    <w:multiLevelType w:val="hybridMultilevel"/>
    <w:tmpl w:val="379489CC"/>
    <w:lvl w:ilvl="0" w:tplc="E362D5EA">
      <w:start w:val="7"/>
      <w:numFmt w:val="lowerRoman"/>
      <w:lvlText w:val="(%1)"/>
      <w:lvlJc w:val="left"/>
      <w:pPr>
        <w:tabs>
          <w:tab w:val="num" w:pos="3600"/>
        </w:tabs>
        <w:ind w:left="3600" w:hanging="720"/>
      </w:pPr>
      <w:rPr>
        <w:rFonts w:hint="default"/>
        <w:strik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5CD65044"/>
    <w:multiLevelType w:val="hybridMultilevel"/>
    <w:tmpl w:val="2766BC70"/>
    <w:lvl w:ilvl="0" w:tplc="C7F0ED5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880C3B"/>
    <w:multiLevelType w:val="hybridMultilevel"/>
    <w:tmpl w:val="D7DA5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80297"/>
    <w:multiLevelType w:val="hybridMultilevel"/>
    <w:tmpl w:val="D7742156"/>
    <w:lvl w:ilvl="0" w:tplc="005E9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662CAF"/>
    <w:multiLevelType w:val="hybridMultilevel"/>
    <w:tmpl w:val="FB48BCF6"/>
    <w:lvl w:ilvl="0" w:tplc="FF9E1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8E61E8"/>
    <w:multiLevelType w:val="hybridMultilevel"/>
    <w:tmpl w:val="49A6EDF8"/>
    <w:lvl w:ilvl="0" w:tplc="CDDAC072">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55DBE"/>
    <w:multiLevelType w:val="hybridMultilevel"/>
    <w:tmpl w:val="E6E2FEC0"/>
    <w:lvl w:ilvl="0" w:tplc="7C3A4CB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B2F1724"/>
    <w:multiLevelType w:val="hybridMultilevel"/>
    <w:tmpl w:val="F8AEB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0D3FDA"/>
    <w:multiLevelType w:val="hybridMultilevel"/>
    <w:tmpl w:val="3056B0C6"/>
    <w:lvl w:ilvl="0" w:tplc="6FD47D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20"/>
  </w:num>
  <w:num w:numId="5">
    <w:abstractNumId w:val="21"/>
  </w:num>
  <w:num w:numId="6">
    <w:abstractNumId w:val="24"/>
  </w:num>
  <w:num w:numId="7">
    <w:abstractNumId w:val="14"/>
  </w:num>
  <w:num w:numId="8">
    <w:abstractNumId w:val="15"/>
  </w:num>
  <w:num w:numId="9">
    <w:abstractNumId w:val="26"/>
  </w:num>
  <w:num w:numId="10">
    <w:abstractNumId w:val="10"/>
  </w:num>
  <w:num w:numId="11">
    <w:abstractNumId w:val="1"/>
  </w:num>
  <w:num w:numId="12">
    <w:abstractNumId w:val="27"/>
  </w:num>
  <w:num w:numId="13">
    <w:abstractNumId w:val="22"/>
  </w:num>
  <w:num w:numId="14">
    <w:abstractNumId w:val="16"/>
  </w:num>
  <w:num w:numId="15">
    <w:abstractNumId w:val="4"/>
  </w:num>
  <w:num w:numId="16">
    <w:abstractNumId w:val="25"/>
  </w:num>
  <w:num w:numId="17">
    <w:abstractNumId w:val="7"/>
  </w:num>
  <w:num w:numId="18">
    <w:abstractNumId w:val="19"/>
  </w:num>
  <w:num w:numId="19">
    <w:abstractNumId w:val="23"/>
  </w:num>
  <w:num w:numId="20">
    <w:abstractNumId w:val="8"/>
  </w:num>
  <w:num w:numId="21">
    <w:abstractNumId w:val="2"/>
  </w:num>
  <w:num w:numId="22">
    <w:abstractNumId w:val="13"/>
  </w:num>
  <w:num w:numId="23">
    <w:abstractNumId w:val="6"/>
  </w:num>
  <w:num w:numId="24">
    <w:abstractNumId w:val="0"/>
  </w:num>
  <w:num w:numId="25">
    <w:abstractNumId w:val="18"/>
  </w:num>
  <w:num w:numId="26">
    <w:abstractNumId w:val="28"/>
  </w:num>
  <w:num w:numId="27">
    <w:abstractNumId w:val="9"/>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F"/>
    <w:rsid w:val="00001C47"/>
    <w:rsid w:val="0000517F"/>
    <w:rsid w:val="00013369"/>
    <w:rsid w:val="000143A6"/>
    <w:rsid w:val="00023E04"/>
    <w:rsid w:val="0002766A"/>
    <w:rsid w:val="00031059"/>
    <w:rsid w:val="000332AE"/>
    <w:rsid w:val="00034D53"/>
    <w:rsid w:val="00045017"/>
    <w:rsid w:val="00045307"/>
    <w:rsid w:val="0004738E"/>
    <w:rsid w:val="000523D4"/>
    <w:rsid w:val="00056468"/>
    <w:rsid w:val="0007152C"/>
    <w:rsid w:val="00085CE9"/>
    <w:rsid w:val="000941DF"/>
    <w:rsid w:val="000A282A"/>
    <w:rsid w:val="000C0419"/>
    <w:rsid w:val="000C0FDA"/>
    <w:rsid w:val="000C1C98"/>
    <w:rsid w:val="000E24DD"/>
    <w:rsid w:val="000F4BDE"/>
    <w:rsid w:val="00100180"/>
    <w:rsid w:val="00100292"/>
    <w:rsid w:val="0010608E"/>
    <w:rsid w:val="00110B10"/>
    <w:rsid w:val="001115F0"/>
    <w:rsid w:val="0011168A"/>
    <w:rsid w:val="001174EA"/>
    <w:rsid w:val="001178CB"/>
    <w:rsid w:val="001207CE"/>
    <w:rsid w:val="00121AFB"/>
    <w:rsid w:val="00124E68"/>
    <w:rsid w:val="001312F0"/>
    <w:rsid w:val="00140E21"/>
    <w:rsid w:val="0014120B"/>
    <w:rsid w:val="00141B25"/>
    <w:rsid w:val="001433F9"/>
    <w:rsid w:val="001437F7"/>
    <w:rsid w:val="00150258"/>
    <w:rsid w:val="00153AF0"/>
    <w:rsid w:val="001603CC"/>
    <w:rsid w:val="0016690F"/>
    <w:rsid w:val="0016766B"/>
    <w:rsid w:val="00170491"/>
    <w:rsid w:val="001736AD"/>
    <w:rsid w:val="0018358C"/>
    <w:rsid w:val="00187545"/>
    <w:rsid w:val="0019333D"/>
    <w:rsid w:val="0019519B"/>
    <w:rsid w:val="00195FF5"/>
    <w:rsid w:val="001B4EAB"/>
    <w:rsid w:val="001B52E7"/>
    <w:rsid w:val="001D1EA1"/>
    <w:rsid w:val="001D5192"/>
    <w:rsid w:val="001D768C"/>
    <w:rsid w:val="001E2E45"/>
    <w:rsid w:val="001F3A3D"/>
    <w:rsid w:val="001F3F4B"/>
    <w:rsid w:val="001F6596"/>
    <w:rsid w:val="001F73B9"/>
    <w:rsid w:val="00203A15"/>
    <w:rsid w:val="0020451E"/>
    <w:rsid w:val="002118F3"/>
    <w:rsid w:val="00211CE1"/>
    <w:rsid w:val="00212164"/>
    <w:rsid w:val="002202AF"/>
    <w:rsid w:val="00220A7B"/>
    <w:rsid w:val="0022103E"/>
    <w:rsid w:val="002314A1"/>
    <w:rsid w:val="002373A3"/>
    <w:rsid w:val="0024037B"/>
    <w:rsid w:val="002410A9"/>
    <w:rsid w:val="00241304"/>
    <w:rsid w:val="002456A0"/>
    <w:rsid w:val="002512D3"/>
    <w:rsid w:val="00251994"/>
    <w:rsid w:val="00255921"/>
    <w:rsid w:val="00257503"/>
    <w:rsid w:val="00264198"/>
    <w:rsid w:val="00264AC2"/>
    <w:rsid w:val="0026591C"/>
    <w:rsid w:val="00271284"/>
    <w:rsid w:val="002731F3"/>
    <w:rsid w:val="002759FB"/>
    <w:rsid w:val="00277DC6"/>
    <w:rsid w:val="002808BA"/>
    <w:rsid w:val="002809D8"/>
    <w:rsid w:val="00281965"/>
    <w:rsid w:val="00281F75"/>
    <w:rsid w:val="00282070"/>
    <w:rsid w:val="00284851"/>
    <w:rsid w:val="002872C1"/>
    <w:rsid w:val="00291C27"/>
    <w:rsid w:val="00295253"/>
    <w:rsid w:val="002A6216"/>
    <w:rsid w:val="002A62CE"/>
    <w:rsid w:val="002B6BA9"/>
    <w:rsid w:val="002C10D5"/>
    <w:rsid w:val="002C3F42"/>
    <w:rsid w:val="002D0DA7"/>
    <w:rsid w:val="002E0BA5"/>
    <w:rsid w:val="002E3217"/>
    <w:rsid w:val="002E5204"/>
    <w:rsid w:val="002E5783"/>
    <w:rsid w:val="002F3925"/>
    <w:rsid w:val="00311D3E"/>
    <w:rsid w:val="00311EA0"/>
    <w:rsid w:val="00313CC4"/>
    <w:rsid w:val="0031417F"/>
    <w:rsid w:val="003167E9"/>
    <w:rsid w:val="003214E6"/>
    <w:rsid w:val="00321DA7"/>
    <w:rsid w:val="0032488F"/>
    <w:rsid w:val="00336003"/>
    <w:rsid w:val="003377F5"/>
    <w:rsid w:val="003466BA"/>
    <w:rsid w:val="003472E5"/>
    <w:rsid w:val="003563E7"/>
    <w:rsid w:val="0036043D"/>
    <w:rsid w:val="00361BB3"/>
    <w:rsid w:val="00361BF1"/>
    <w:rsid w:val="00362B2B"/>
    <w:rsid w:val="0036376A"/>
    <w:rsid w:val="00372C22"/>
    <w:rsid w:val="00376A7A"/>
    <w:rsid w:val="00376D02"/>
    <w:rsid w:val="00385062"/>
    <w:rsid w:val="00390AF7"/>
    <w:rsid w:val="00393693"/>
    <w:rsid w:val="003937DE"/>
    <w:rsid w:val="00393D01"/>
    <w:rsid w:val="0039561C"/>
    <w:rsid w:val="0039737C"/>
    <w:rsid w:val="003A3730"/>
    <w:rsid w:val="003A5A68"/>
    <w:rsid w:val="003A6707"/>
    <w:rsid w:val="003B28A0"/>
    <w:rsid w:val="003B7E9F"/>
    <w:rsid w:val="003C2195"/>
    <w:rsid w:val="003C5649"/>
    <w:rsid w:val="003D385C"/>
    <w:rsid w:val="003E0E8E"/>
    <w:rsid w:val="003E41A0"/>
    <w:rsid w:val="003E4A0C"/>
    <w:rsid w:val="003E698E"/>
    <w:rsid w:val="003F036F"/>
    <w:rsid w:val="003F4AB8"/>
    <w:rsid w:val="003F7600"/>
    <w:rsid w:val="004035AF"/>
    <w:rsid w:val="0040597F"/>
    <w:rsid w:val="00406939"/>
    <w:rsid w:val="0040797F"/>
    <w:rsid w:val="00407C69"/>
    <w:rsid w:val="00410B3F"/>
    <w:rsid w:val="0041239F"/>
    <w:rsid w:val="00412D03"/>
    <w:rsid w:val="00413F89"/>
    <w:rsid w:val="00414C42"/>
    <w:rsid w:val="00422461"/>
    <w:rsid w:val="00422F00"/>
    <w:rsid w:val="00426679"/>
    <w:rsid w:val="004274AC"/>
    <w:rsid w:val="004357A5"/>
    <w:rsid w:val="00453D22"/>
    <w:rsid w:val="00456563"/>
    <w:rsid w:val="0045734F"/>
    <w:rsid w:val="004575F4"/>
    <w:rsid w:val="0046094A"/>
    <w:rsid w:val="00463A5C"/>
    <w:rsid w:val="004670C6"/>
    <w:rsid w:val="00467193"/>
    <w:rsid w:val="00467D00"/>
    <w:rsid w:val="004737A2"/>
    <w:rsid w:val="00482363"/>
    <w:rsid w:val="00482546"/>
    <w:rsid w:val="00483DCD"/>
    <w:rsid w:val="00495A29"/>
    <w:rsid w:val="004A014C"/>
    <w:rsid w:val="004A15E2"/>
    <w:rsid w:val="004C3191"/>
    <w:rsid w:val="004C6316"/>
    <w:rsid w:val="004C7C7F"/>
    <w:rsid w:val="004D2E8E"/>
    <w:rsid w:val="004E5330"/>
    <w:rsid w:val="004F0E2C"/>
    <w:rsid w:val="004F3BB6"/>
    <w:rsid w:val="004F3C27"/>
    <w:rsid w:val="004F45F0"/>
    <w:rsid w:val="004F4AE7"/>
    <w:rsid w:val="00502699"/>
    <w:rsid w:val="0052017A"/>
    <w:rsid w:val="005240F6"/>
    <w:rsid w:val="0053070A"/>
    <w:rsid w:val="00530C59"/>
    <w:rsid w:val="00537304"/>
    <w:rsid w:val="00540FD0"/>
    <w:rsid w:val="0054731C"/>
    <w:rsid w:val="00551180"/>
    <w:rsid w:val="005605E4"/>
    <w:rsid w:val="00564F74"/>
    <w:rsid w:val="00566A0C"/>
    <w:rsid w:val="005671D8"/>
    <w:rsid w:val="00571FA5"/>
    <w:rsid w:val="00573D48"/>
    <w:rsid w:val="0057524A"/>
    <w:rsid w:val="00585851"/>
    <w:rsid w:val="00587A2B"/>
    <w:rsid w:val="00587EAA"/>
    <w:rsid w:val="00591589"/>
    <w:rsid w:val="0059483D"/>
    <w:rsid w:val="00596F64"/>
    <w:rsid w:val="00597BA3"/>
    <w:rsid w:val="005C045B"/>
    <w:rsid w:val="005C50F1"/>
    <w:rsid w:val="005C5C53"/>
    <w:rsid w:val="005C743C"/>
    <w:rsid w:val="005D633C"/>
    <w:rsid w:val="00601B63"/>
    <w:rsid w:val="006044EE"/>
    <w:rsid w:val="00604D84"/>
    <w:rsid w:val="00605EFD"/>
    <w:rsid w:val="00612559"/>
    <w:rsid w:val="00622720"/>
    <w:rsid w:val="006344AD"/>
    <w:rsid w:val="00641F5F"/>
    <w:rsid w:val="00647A62"/>
    <w:rsid w:val="006504E9"/>
    <w:rsid w:val="006536F3"/>
    <w:rsid w:val="00653D26"/>
    <w:rsid w:val="006579FF"/>
    <w:rsid w:val="00657AA8"/>
    <w:rsid w:val="0066067E"/>
    <w:rsid w:val="00660866"/>
    <w:rsid w:val="0066781A"/>
    <w:rsid w:val="00670A99"/>
    <w:rsid w:val="0067344D"/>
    <w:rsid w:val="00681797"/>
    <w:rsid w:val="00684CB7"/>
    <w:rsid w:val="00685141"/>
    <w:rsid w:val="00685335"/>
    <w:rsid w:val="00686103"/>
    <w:rsid w:val="00687D68"/>
    <w:rsid w:val="00695F18"/>
    <w:rsid w:val="006966FD"/>
    <w:rsid w:val="006A2C16"/>
    <w:rsid w:val="006A4EDB"/>
    <w:rsid w:val="006A7C2F"/>
    <w:rsid w:val="006B184C"/>
    <w:rsid w:val="006B6BC5"/>
    <w:rsid w:val="006C0FF0"/>
    <w:rsid w:val="006C7391"/>
    <w:rsid w:val="006D01E2"/>
    <w:rsid w:val="006D0AB0"/>
    <w:rsid w:val="006D5F05"/>
    <w:rsid w:val="006D635D"/>
    <w:rsid w:val="006E0DB7"/>
    <w:rsid w:val="006E118E"/>
    <w:rsid w:val="006E2BBB"/>
    <w:rsid w:val="006E52CE"/>
    <w:rsid w:val="006E5BD7"/>
    <w:rsid w:val="006F20ED"/>
    <w:rsid w:val="006F7498"/>
    <w:rsid w:val="00704983"/>
    <w:rsid w:val="00705C23"/>
    <w:rsid w:val="00706719"/>
    <w:rsid w:val="00706E42"/>
    <w:rsid w:val="00707307"/>
    <w:rsid w:val="00711E5E"/>
    <w:rsid w:val="007145F5"/>
    <w:rsid w:val="00714C62"/>
    <w:rsid w:val="0071729C"/>
    <w:rsid w:val="00717F24"/>
    <w:rsid w:val="00727AE0"/>
    <w:rsid w:val="00730D34"/>
    <w:rsid w:val="007326D0"/>
    <w:rsid w:val="007344BB"/>
    <w:rsid w:val="00736EA3"/>
    <w:rsid w:val="00737A76"/>
    <w:rsid w:val="007410C2"/>
    <w:rsid w:val="00744388"/>
    <w:rsid w:val="00744500"/>
    <w:rsid w:val="0074456A"/>
    <w:rsid w:val="007474D9"/>
    <w:rsid w:val="00751D62"/>
    <w:rsid w:val="0075426D"/>
    <w:rsid w:val="00755B1F"/>
    <w:rsid w:val="00756B62"/>
    <w:rsid w:val="00756C1E"/>
    <w:rsid w:val="00760F9E"/>
    <w:rsid w:val="00763497"/>
    <w:rsid w:val="00763546"/>
    <w:rsid w:val="0076354A"/>
    <w:rsid w:val="007710AC"/>
    <w:rsid w:val="00772506"/>
    <w:rsid w:val="00773B71"/>
    <w:rsid w:val="00776A99"/>
    <w:rsid w:val="00785A40"/>
    <w:rsid w:val="007907D2"/>
    <w:rsid w:val="00790D03"/>
    <w:rsid w:val="00791281"/>
    <w:rsid w:val="00792FD2"/>
    <w:rsid w:val="007A6A7D"/>
    <w:rsid w:val="007B3347"/>
    <w:rsid w:val="007B49E6"/>
    <w:rsid w:val="007B5BE6"/>
    <w:rsid w:val="007C2169"/>
    <w:rsid w:val="007C62D0"/>
    <w:rsid w:val="007D00EE"/>
    <w:rsid w:val="007D6D07"/>
    <w:rsid w:val="007E0247"/>
    <w:rsid w:val="007E02E8"/>
    <w:rsid w:val="007E4025"/>
    <w:rsid w:val="007E4E9F"/>
    <w:rsid w:val="007E6A39"/>
    <w:rsid w:val="007F04E7"/>
    <w:rsid w:val="007F79BB"/>
    <w:rsid w:val="0080099E"/>
    <w:rsid w:val="008049CE"/>
    <w:rsid w:val="0081410E"/>
    <w:rsid w:val="00820B78"/>
    <w:rsid w:val="008233C0"/>
    <w:rsid w:val="00832480"/>
    <w:rsid w:val="00833381"/>
    <w:rsid w:val="00833642"/>
    <w:rsid w:val="00835F7F"/>
    <w:rsid w:val="00837F49"/>
    <w:rsid w:val="008449FB"/>
    <w:rsid w:val="00845619"/>
    <w:rsid w:val="00845C74"/>
    <w:rsid w:val="00846D68"/>
    <w:rsid w:val="008552B2"/>
    <w:rsid w:val="008648B1"/>
    <w:rsid w:val="00867D2C"/>
    <w:rsid w:val="00872A09"/>
    <w:rsid w:val="0087394C"/>
    <w:rsid w:val="00874EB4"/>
    <w:rsid w:val="0087759C"/>
    <w:rsid w:val="00887CB1"/>
    <w:rsid w:val="00890D55"/>
    <w:rsid w:val="008922AA"/>
    <w:rsid w:val="00894FC2"/>
    <w:rsid w:val="008A099A"/>
    <w:rsid w:val="008A3B04"/>
    <w:rsid w:val="008D2C61"/>
    <w:rsid w:val="008D4098"/>
    <w:rsid w:val="008D5F96"/>
    <w:rsid w:val="008D6EDD"/>
    <w:rsid w:val="008E11FA"/>
    <w:rsid w:val="008E1E70"/>
    <w:rsid w:val="008E31F2"/>
    <w:rsid w:val="008E6ED4"/>
    <w:rsid w:val="008F1338"/>
    <w:rsid w:val="008F59E0"/>
    <w:rsid w:val="008F7D57"/>
    <w:rsid w:val="00902908"/>
    <w:rsid w:val="00911126"/>
    <w:rsid w:val="0091478C"/>
    <w:rsid w:val="00924C23"/>
    <w:rsid w:val="009315FF"/>
    <w:rsid w:val="00931CA2"/>
    <w:rsid w:val="00933072"/>
    <w:rsid w:val="00936309"/>
    <w:rsid w:val="00940523"/>
    <w:rsid w:val="00941500"/>
    <w:rsid w:val="00942B90"/>
    <w:rsid w:val="009448CB"/>
    <w:rsid w:val="00947518"/>
    <w:rsid w:val="00952D9D"/>
    <w:rsid w:val="00955758"/>
    <w:rsid w:val="009559A4"/>
    <w:rsid w:val="009606FF"/>
    <w:rsid w:val="0097300A"/>
    <w:rsid w:val="00973F7D"/>
    <w:rsid w:val="009778A9"/>
    <w:rsid w:val="00982DE2"/>
    <w:rsid w:val="00991307"/>
    <w:rsid w:val="00992BDE"/>
    <w:rsid w:val="009A3A6D"/>
    <w:rsid w:val="009B0BEB"/>
    <w:rsid w:val="009B2892"/>
    <w:rsid w:val="009B45D6"/>
    <w:rsid w:val="009C1260"/>
    <w:rsid w:val="009D0B55"/>
    <w:rsid w:val="009E5B46"/>
    <w:rsid w:val="009E7112"/>
    <w:rsid w:val="009F354B"/>
    <w:rsid w:val="009F5648"/>
    <w:rsid w:val="009F758B"/>
    <w:rsid w:val="00A02AA3"/>
    <w:rsid w:val="00A040D3"/>
    <w:rsid w:val="00A06782"/>
    <w:rsid w:val="00A07A40"/>
    <w:rsid w:val="00A11AA6"/>
    <w:rsid w:val="00A17CD1"/>
    <w:rsid w:val="00A253F1"/>
    <w:rsid w:val="00A37D4E"/>
    <w:rsid w:val="00A414EB"/>
    <w:rsid w:val="00A53F44"/>
    <w:rsid w:val="00A562C9"/>
    <w:rsid w:val="00A6084A"/>
    <w:rsid w:val="00A62941"/>
    <w:rsid w:val="00A62B39"/>
    <w:rsid w:val="00A6665E"/>
    <w:rsid w:val="00A7088A"/>
    <w:rsid w:val="00A70CC6"/>
    <w:rsid w:val="00A77968"/>
    <w:rsid w:val="00A8114F"/>
    <w:rsid w:val="00A94E0F"/>
    <w:rsid w:val="00A94F88"/>
    <w:rsid w:val="00AA6729"/>
    <w:rsid w:val="00AA725B"/>
    <w:rsid w:val="00AB2D03"/>
    <w:rsid w:val="00AB39BC"/>
    <w:rsid w:val="00AB4B3A"/>
    <w:rsid w:val="00AB66ED"/>
    <w:rsid w:val="00AC5068"/>
    <w:rsid w:val="00AE01F2"/>
    <w:rsid w:val="00AE1A6D"/>
    <w:rsid w:val="00AE2C35"/>
    <w:rsid w:val="00AE7228"/>
    <w:rsid w:val="00B055E5"/>
    <w:rsid w:val="00B1224A"/>
    <w:rsid w:val="00B13B84"/>
    <w:rsid w:val="00B14C54"/>
    <w:rsid w:val="00B16C3B"/>
    <w:rsid w:val="00B17D98"/>
    <w:rsid w:val="00B236F7"/>
    <w:rsid w:val="00B270F9"/>
    <w:rsid w:val="00B51222"/>
    <w:rsid w:val="00B51A9E"/>
    <w:rsid w:val="00B632DD"/>
    <w:rsid w:val="00B71E46"/>
    <w:rsid w:val="00B73732"/>
    <w:rsid w:val="00B83985"/>
    <w:rsid w:val="00B83C33"/>
    <w:rsid w:val="00B8489B"/>
    <w:rsid w:val="00B91FC7"/>
    <w:rsid w:val="00B97FD6"/>
    <w:rsid w:val="00BA006A"/>
    <w:rsid w:val="00BA329A"/>
    <w:rsid w:val="00BB1268"/>
    <w:rsid w:val="00BC0ECB"/>
    <w:rsid w:val="00BC7F6F"/>
    <w:rsid w:val="00BD096A"/>
    <w:rsid w:val="00BD1AF7"/>
    <w:rsid w:val="00BD3B82"/>
    <w:rsid w:val="00BD3E32"/>
    <w:rsid w:val="00BF22AE"/>
    <w:rsid w:val="00BF5BE4"/>
    <w:rsid w:val="00BF641F"/>
    <w:rsid w:val="00BF6C43"/>
    <w:rsid w:val="00C031F1"/>
    <w:rsid w:val="00C04545"/>
    <w:rsid w:val="00C06807"/>
    <w:rsid w:val="00C11F8B"/>
    <w:rsid w:val="00C126B5"/>
    <w:rsid w:val="00C13494"/>
    <w:rsid w:val="00C1531D"/>
    <w:rsid w:val="00C25921"/>
    <w:rsid w:val="00C409C7"/>
    <w:rsid w:val="00C44F3F"/>
    <w:rsid w:val="00C53736"/>
    <w:rsid w:val="00C601F0"/>
    <w:rsid w:val="00C6434F"/>
    <w:rsid w:val="00C650CB"/>
    <w:rsid w:val="00C720E8"/>
    <w:rsid w:val="00C721DE"/>
    <w:rsid w:val="00C74255"/>
    <w:rsid w:val="00C805AC"/>
    <w:rsid w:val="00C81F15"/>
    <w:rsid w:val="00C9594D"/>
    <w:rsid w:val="00CA2DF2"/>
    <w:rsid w:val="00CA6D8A"/>
    <w:rsid w:val="00CB4472"/>
    <w:rsid w:val="00CB7E31"/>
    <w:rsid w:val="00CB7F48"/>
    <w:rsid w:val="00CC69FF"/>
    <w:rsid w:val="00CD23E3"/>
    <w:rsid w:val="00CD638B"/>
    <w:rsid w:val="00CD7CDA"/>
    <w:rsid w:val="00CE7A83"/>
    <w:rsid w:val="00CF31A1"/>
    <w:rsid w:val="00D020EA"/>
    <w:rsid w:val="00D10E50"/>
    <w:rsid w:val="00D11B82"/>
    <w:rsid w:val="00D13894"/>
    <w:rsid w:val="00D14132"/>
    <w:rsid w:val="00D25482"/>
    <w:rsid w:val="00D31456"/>
    <w:rsid w:val="00D44E48"/>
    <w:rsid w:val="00D45701"/>
    <w:rsid w:val="00D47167"/>
    <w:rsid w:val="00D53475"/>
    <w:rsid w:val="00D572BC"/>
    <w:rsid w:val="00D57789"/>
    <w:rsid w:val="00D61CD3"/>
    <w:rsid w:val="00D6504F"/>
    <w:rsid w:val="00D66F63"/>
    <w:rsid w:val="00D67DAB"/>
    <w:rsid w:val="00D71C88"/>
    <w:rsid w:val="00D73D12"/>
    <w:rsid w:val="00D83D18"/>
    <w:rsid w:val="00D84E7B"/>
    <w:rsid w:val="00D854C7"/>
    <w:rsid w:val="00D87C96"/>
    <w:rsid w:val="00D9549D"/>
    <w:rsid w:val="00D95A22"/>
    <w:rsid w:val="00D96A35"/>
    <w:rsid w:val="00DA3754"/>
    <w:rsid w:val="00DA43BC"/>
    <w:rsid w:val="00DA53AE"/>
    <w:rsid w:val="00DA5EB2"/>
    <w:rsid w:val="00DB02D1"/>
    <w:rsid w:val="00DB3BAD"/>
    <w:rsid w:val="00DB5803"/>
    <w:rsid w:val="00DB6F8E"/>
    <w:rsid w:val="00DC17F3"/>
    <w:rsid w:val="00DD2094"/>
    <w:rsid w:val="00DD2791"/>
    <w:rsid w:val="00DD55D2"/>
    <w:rsid w:val="00DD6D2C"/>
    <w:rsid w:val="00DD7135"/>
    <w:rsid w:val="00DE1537"/>
    <w:rsid w:val="00DE18D9"/>
    <w:rsid w:val="00DE357F"/>
    <w:rsid w:val="00DE3A3A"/>
    <w:rsid w:val="00DE3BAF"/>
    <w:rsid w:val="00DE6076"/>
    <w:rsid w:val="00DF0CD5"/>
    <w:rsid w:val="00DF15F9"/>
    <w:rsid w:val="00DF1BE2"/>
    <w:rsid w:val="00DF2C43"/>
    <w:rsid w:val="00DF3A14"/>
    <w:rsid w:val="00DF61E1"/>
    <w:rsid w:val="00E00397"/>
    <w:rsid w:val="00E06D30"/>
    <w:rsid w:val="00E203D0"/>
    <w:rsid w:val="00E21524"/>
    <w:rsid w:val="00E226C8"/>
    <w:rsid w:val="00E26260"/>
    <w:rsid w:val="00E33ED0"/>
    <w:rsid w:val="00E34089"/>
    <w:rsid w:val="00E351E1"/>
    <w:rsid w:val="00E365E4"/>
    <w:rsid w:val="00E51B2B"/>
    <w:rsid w:val="00E54024"/>
    <w:rsid w:val="00E5785E"/>
    <w:rsid w:val="00E600BB"/>
    <w:rsid w:val="00E65AEE"/>
    <w:rsid w:val="00E67556"/>
    <w:rsid w:val="00E71A7B"/>
    <w:rsid w:val="00E7387A"/>
    <w:rsid w:val="00E74B98"/>
    <w:rsid w:val="00E76520"/>
    <w:rsid w:val="00E814FF"/>
    <w:rsid w:val="00E8362C"/>
    <w:rsid w:val="00E85190"/>
    <w:rsid w:val="00E9025C"/>
    <w:rsid w:val="00E91587"/>
    <w:rsid w:val="00E954F6"/>
    <w:rsid w:val="00EA1D5A"/>
    <w:rsid w:val="00EA5CC8"/>
    <w:rsid w:val="00EB505D"/>
    <w:rsid w:val="00EB639A"/>
    <w:rsid w:val="00EC2A24"/>
    <w:rsid w:val="00ED37C2"/>
    <w:rsid w:val="00ED43F6"/>
    <w:rsid w:val="00EE0C78"/>
    <w:rsid w:val="00EE6FC7"/>
    <w:rsid w:val="00EF4B01"/>
    <w:rsid w:val="00EF5849"/>
    <w:rsid w:val="00F01E3A"/>
    <w:rsid w:val="00F15072"/>
    <w:rsid w:val="00F1706F"/>
    <w:rsid w:val="00F17CA1"/>
    <w:rsid w:val="00F22406"/>
    <w:rsid w:val="00F23F47"/>
    <w:rsid w:val="00F25262"/>
    <w:rsid w:val="00F3501F"/>
    <w:rsid w:val="00F3513C"/>
    <w:rsid w:val="00F37CD6"/>
    <w:rsid w:val="00F414FC"/>
    <w:rsid w:val="00F43359"/>
    <w:rsid w:val="00F513B6"/>
    <w:rsid w:val="00F5142E"/>
    <w:rsid w:val="00F51DB9"/>
    <w:rsid w:val="00F62E04"/>
    <w:rsid w:val="00F63415"/>
    <w:rsid w:val="00F672EE"/>
    <w:rsid w:val="00F72AFA"/>
    <w:rsid w:val="00F743A0"/>
    <w:rsid w:val="00F77BBD"/>
    <w:rsid w:val="00F77E70"/>
    <w:rsid w:val="00F877D3"/>
    <w:rsid w:val="00F935A8"/>
    <w:rsid w:val="00F95744"/>
    <w:rsid w:val="00F97328"/>
    <w:rsid w:val="00FA2ECD"/>
    <w:rsid w:val="00FA35DD"/>
    <w:rsid w:val="00FA425B"/>
    <w:rsid w:val="00FA54E5"/>
    <w:rsid w:val="00FB6C12"/>
    <w:rsid w:val="00FC4E51"/>
    <w:rsid w:val="00FC5789"/>
    <w:rsid w:val="00FC6CEB"/>
    <w:rsid w:val="00FD0177"/>
    <w:rsid w:val="00FD3A51"/>
    <w:rsid w:val="00FF10A6"/>
    <w:rsid w:val="00FF365C"/>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7F7"/>
    <w:pPr>
      <w:overflowPunct w:val="0"/>
      <w:autoSpaceDE w:val="0"/>
      <w:autoSpaceDN w:val="0"/>
      <w:adjustRightInd w:val="0"/>
      <w:textAlignment w:val="baseline"/>
    </w:pPr>
    <w:rPr>
      <w:rFonts w:ascii="Courier" w:hAnsi="Courier"/>
    </w:rPr>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rFonts w:ascii="Times" w:hAnsi="Times"/>
      <w:b/>
      <w:sz w:val="24"/>
    </w:rPr>
  </w:style>
  <w:style w:type="paragraph" w:styleId="Heading4">
    <w:name w:val="heading 4"/>
    <w:basedOn w:val="Normal"/>
    <w:next w:val="NormalIndent"/>
    <w:qFormat/>
    <w:pPr>
      <w:ind w:left="360"/>
      <w:outlineLvl w:val="3"/>
    </w:pPr>
    <w:rPr>
      <w:rFonts w:ascii="Times" w:hAnsi="Times"/>
      <w:sz w:val="24"/>
      <w:u w:val="single"/>
    </w:rPr>
  </w:style>
  <w:style w:type="paragraph" w:styleId="Heading5">
    <w:name w:val="heading 5"/>
    <w:basedOn w:val="Normal"/>
    <w:next w:val="NormalIndent"/>
    <w:qFormat/>
    <w:pPr>
      <w:ind w:left="720"/>
      <w:outlineLvl w:val="4"/>
    </w:pPr>
    <w:rPr>
      <w:rFonts w:ascii="Times" w:hAnsi="Times"/>
      <w:b/>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rsid w:val="00B16C3B"/>
  </w:style>
  <w:style w:type="paragraph" w:styleId="BalloonText">
    <w:name w:val="Balloon Text"/>
    <w:basedOn w:val="Normal"/>
    <w:semiHidden/>
    <w:rsid w:val="006E118E"/>
    <w:rPr>
      <w:rFonts w:ascii="Tahoma" w:hAnsi="Tahoma" w:cs="Tahoma"/>
      <w:sz w:val="16"/>
      <w:szCs w:val="16"/>
    </w:rPr>
  </w:style>
  <w:style w:type="paragraph" w:styleId="CommentText">
    <w:name w:val="annotation text"/>
    <w:basedOn w:val="Normal"/>
    <w:link w:val="CommentTextChar"/>
    <w:rsid w:val="00D95A22"/>
    <w:pPr>
      <w:overflowPunct/>
      <w:autoSpaceDE/>
      <w:autoSpaceDN/>
      <w:adjustRightInd/>
      <w:textAlignment w:val="auto"/>
    </w:pPr>
    <w:rPr>
      <w:rFonts w:ascii="Century Schoolbook" w:hAnsi="Century Schoolbook"/>
    </w:rPr>
  </w:style>
  <w:style w:type="character" w:customStyle="1" w:styleId="CommentTextChar">
    <w:name w:val="Comment Text Char"/>
    <w:link w:val="CommentText"/>
    <w:rsid w:val="00D95A22"/>
    <w:rPr>
      <w:rFonts w:ascii="Century Schoolbook" w:hAnsi="Century Schoolbook"/>
      <w:lang w:val="en-US" w:eastAsia="en-US" w:bidi="ar-SA"/>
    </w:rPr>
  </w:style>
  <w:style w:type="paragraph" w:styleId="ListParagraph">
    <w:name w:val="List Paragraph"/>
    <w:basedOn w:val="Normal"/>
    <w:uiPriority w:val="34"/>
    <w:qFormat/>
    <w:rsid w:val="00F51DB9"/>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msoins0">
    <w:name w:val="msoins"/>
    <w:basedOn w:val="DefaultParagraphFont"/>
    <w:rsid w:val="00CD7CDA"/>
  </w:style>
  <w:style w:type="character" w:styleId="Strong">
    <w:name w:val="Strong"/>
    <w:qFormat/>
    <w:rsid w:val="00CD7CDA"/>
    <w:rPr>
      <w:b/>
      <w:bCs/>
    </w:rPr>
  </w:style>
  <w:style w:type="character" w:customStyle="1" w:styleId="FooterChar">
    <w:name w:val="Footer Char"/>
    <w:link w:val="Footer"/>
    <w:uiPriority w:val="99"/>
    <w:rsid w:val="008E1E70"/>
    <w:rPr>
      <w:rFonts w:ascii="Courier" w:hAnsi="Courier"/>
    </w:rPr>
  </w:style>
  <w:style w:type="character" w:styleId="CommentReference">
    <w:name w:val="annotation reference"/>
    <w:rsid w:val="00D83D18"/>
    <w:rPr>
      <w:sz w:val="16"/>
      <w:szCs w:val="16"/>
    </w:rPr>
  </w:style>
  <w:style w:type="paragraph" w:styleId="CommentSubject">
    <w:name w:val="annotation subject"/>
    <w:basedOn w:val="CommentText"/>
    <w:next w:val="CommentText"/>
    <w:link w:val="CommentSubjectChar"/>
    <w:rsid w:val="00D83D18"/>
    <w:pPr>
      <w:overflowPunct w:val="0"/>
      <w:autoSpaceDE w:val="0"/>
      <w:autoSpaceDN w:val="0"/>
      <w:adjustRightInd w:val="0"/>
      <w:textAlignment w:val="baseline"/>
    </w:pPr>
    <w:rPr>
      <w:rFonts w:ascii="Courier" w:hAnsi="Courier"/>
      <w:b/>
      <w:bCs/>
    </w:rPr>
  </w:style>
  <w:style w:type="character" w:customStyle="1" w:styleId="CommentSubjectChar">
    <w:name w:val="Comment Subject Char"/>
    <w:link w:val="CommentSubject"/>
    <w:rsid w:val="00D83D18"/>
    <w:rPr>
      <w:rFonts w:ascii="Courier" w:hAnsi="Courie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7F7"/>
    <w:pPr>
      <w:overflowPunct w:val="0"/>
      <w:autoSpaceDE w:val="0"/>
      <w:autoSpaceDN w:val="0"/>
      <w:adjustRightInd w:val="0"/>
      <w:textAlignment w:val="baseline"/>
    </w:pPr>
    <w:rPr>
      <w:rFonts w:ascii="Courier" w:hAnsi="Courier"/>
    </w:rPr>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rFonts w:ascii="Times" w:hAnsi="Times"/>
      <w:b/>
      <w:sz w:val="24"/>
    </w:rPr>
  </w:style>
  <w:style w:type="paragraph" w:styleId="Heading4">
    <w:name w:val="heading 4"/>
    <w:basedOn w:val="Normal"/>
    <w:next w:val="NormalIndent"/>
    <w:qFormat/>
    <w:pPr>
      <w:ind w:left="360"/>
      <w:outlineLvl w:val="3"/>
    </w:pPr>
    <w:rPr>
      <w:rFonts w:ascii="Times" w:hAnsi="Times"/>
      <w:sz w:val="24"/>
      <w:u w:val="single"/>
    </w:rPr>
  </w:style>
  <w:style w:type="paragraph" w:styleId="Heading5">
    <w:name w:val="heading 5"/>
    <w:basedOn w:val="Normal"/>
    <w:next w:val="NormalIndent"/>
    <w:qFormat/>
    <w:pPr>
      <w:ind w:left="720"/>
      <w:outlineLvl w:val="4"/>
    </w:pPr>
    <w:rPr>
      <w:rFonts w:ascii="Times" w:hAnsi="Times"/>
      <w:b/>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rsid w:val="00B16C3B"/>
  </w:style>
  <w:style w:type="paragraph" w:styleId="BalloonText">
    <w:name w:val="Balloon Text"/>
    <w:basedOn w:val="Normal"/>
    <w:semiHidden/>
    <w:rsid w:val="006E118E"/>
    <w:rPr>
      <w:rFonts w:ascii="Tahoma" w:hAnsi="Tahoma" w:cs="Tahoma"/>
      <w:sz w:val="16"/>
      <w:szCs w:val="16"/>
    </w:rPr>
  </w:style>
  <w:style w:type="paragraph" w:styleId="CommentText">
    <w:name w:val="annotation text"/>
    <w:basedOn w:val="Normal"/>
    <w:link w:val="CommentTextChar"/>
    <w:rsid w:val="00D95A22"/>
    <w:pPr>
      <w:overflowPunct/>
      <w:autoSpaceDE/>
      <w:autoSpaceDN/>
      <w:adjustRightInd/>
      <w:textAlignment w:val="auto"/>
    </w:pPr>
    <w:rPr>
      <w:rFonts w:ascii="Century Schoolbook" w:hAnsi="Century Schoolbook"/>
    </w:rPr>
  </w:style>
  <w:style w:type="character" w:customStyle="1" w:styleId="CommentTextChar">
    <w:name w:val="Comment Text Char"/>
    <w:link w:val="CommentText"/>
    <w:rsid w:val="00D95A22"/>
    <w:rPr>
      <w:rFonts w:ascii="Century Schoolbook" w:hAnsi="Century Schoolbook"/>
      <w:lang w:val="en-US" w:eastAsia="en-US" w:bidi="ar-SA"/>
    </w:rPr>
  </w:style>
  <w:style w:type="paragraph" w:styleId="ListParagraph">
    <w:name w:val="List Paragraph"/>
    <w:basedOn w:val="Normal"/>
    <w:uiPriority w:val="34"/>
    <w:qFormat/>
    <w:rsid w:val="00F51DB9"/>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msoins0">
    <w:name w:val="msoins"/>
    <w:basedOn w:val="DefaultParagraphFont"/>
    <w:rsid w:val="00CD7CDA"/>
  </w:style>
  <w:style w:type="character" w:styleId="Strong">
    <w:name w:val="Strong"/>
    <w:qFormat/>
    <w:rsid w:val="00CD7CDA"/>
    <w:rPr>
      <w:b/>
      <w:bCs/>
    </w:rPr>
  </w:style>
  <w:style w:type="character" w:customStyle="1" w:styleId="FooterChar">
    <w:name w:val="Footer Char"/>
    <w:link w:val="Footer"/>
    <w:uiPriority w:val="99"/>
    <w:rsid w:val="008E1E70"/>
    <w:rPr>
      <w:rFonts w:ascii="Courier" w:hAnsi="Courier"/>
    </w:rPr>
  </w:style>
  <w:style w:type="character" w:styleId="CommentReference">
    <w:name w:val="annotation reference"/>
    <w:rsid w:val="00D83D18"/>
    <w:rPr>
      <w:sz w:val="16"/>
      <w:szCs w:val="16"/>
    </w:rPr>
  </w:style>
  <w:style w:type="paragraph" w:styleId="CommentSubject">
    <w:name w:val="annotation subject"/>
    <w:basedOn w:val="CommentText"/>
    <w:next w:val="CommentText"/>
    <w:link w:val="CommentSubjectChar"/>
    <w:rsid w:val="00D83D18"/>
    <w:pPr>
      <w:overflowPunct w:val="0"/>
      <w:autoSpaceDE w:val="0"/>
      <w:autoSpaceDN w:val="0"/>
      <w:adjustRightInd w:val="0"/>
      <w:textAlignment w:val="baseline"/>
    </w:pPr>
    <w:rPr>
      <w:rFonts w:ascii="Courier" w:hAnsi="Courier"/>
      <w:b/>
      <w:bCs/>
    </w:rPr>
  </w:style>
  <w:style w:type="character" w:customStyle="1" w:styleId="CommentSubjectChar">
    <w:name w:val="Comment Subject Char"/>
    <w:link w:val="CommentSubject"/>
    <w:rsid w:val="00D83D18"/>
    <w:rPr>
      <w:rFonts w:ascii="Courier" w:hAnsi="Courie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3846">
      <w:bodyDiv w:val="1"/>
      <w:marLeft w:val="53"/>
      <w:marRight w:val="53"/>
      <w:marTop w:val="53"/>
      <w:marBottom w:val="13"/>
      <w:divBdr>
        <w:top w:val="none" w:sz="0" w:space="0" w:color="auto"/>
        <w:left w:val="none" w:sz="0" w:space="0" w:color="auto"/>
        <w:bottom w:val="none" w:sz="0" w:space="0" w:color="auto"/>
        <w:right w:val="none" w:sz="0" w:space="0" w:color="auto"/>
      </w:divBdr>
      <w:divsChild>
        <w:div w:id="14381675">
          <w:marLeft w:val="0"/>
          <w:marRight w:val="0"/>
          <w:marTop w:val="0"/>
          <w:marBottom w:val="0"/>
          <w:divBdr>
            <w:top w:val="none" w:sz="0" w:space="0" w:color="auto"/>
            <w:left w:val="none" w:sz="0" w:space="0" w:color="auto"/>
            <w:bottom w:val="none" w:sz="0" w:space="0" w:color="auto"/>
            <w:right w:val="none" w:sz="0" w:space="0" w:color="auto"/>
          </w:divBdr>
        </w:div>
      </w:divsChild>
    </w:div>
    <w:div w:id="242110462">
      <w:bodyDiv w:val="1"/>
      <w:marLeft w:val="0"/>
      <w:marRight w:val="0"/>
      <w:marTop w:val="0"/>
      <w:marBottom w:val="0"/>
      <w:divBdr>
        <w:top w:val="none" w:sz="0" w:space="0" w:color="auto"/>
        <w:left w:val="none" w:sz="0" w:space="0" w:color="auto"/>
        <w:bottom w:val="none" w:sz="0" w:space="0" w:color="auto"/>
        <w:right w:val="none" w:sz="0" w:space="0" w:color="auto"/>
      </w:divBdr>
    </w:div>
    <w:div w:id="860096616">
      <w:bodyDiv w:val="1"/>
      <w:marLeft w:val="53"/>
      <w:marRight w:val="53"/>
      <w:marTop w:val="53"/>
      <w:marBottom w:val="13"/>
      <w:divBdr>
        <w:top w:val="none" w:sz="0" w:space="0" w:color="auto"/>
        <w:left w:val="none" w:sz="0" w:space="0" w:color="auto"/>
        <w:bottom w:val="none" w:sz="0" w:space="0" w:color="auto"/>
        <w:right w:val="none" w:sz="0" w:space="0" w:color="auto"/>
      </w:divBdr>
      <w:divsChild>
        <w:div w:id="71971462">
          <w:marLeft w:val="0"/>
          <w:marRight w:val="0"/>
          <w:marTop w:val="0"/>
          <w:marBottom w:val="0"/>
          <w:divBdr>
            <w:top w:val="none" w:sz="0" w:space="0" w:color="auto"/>
            <w:left w:val="none" w:sz="0" w:space="0" w:color="auto"/>
            <w:bottom w:val="none" w:sz="0" w:space="0" w:color="auto"/>
            <w:right w:val="none" w:sz="0" w:space="0" w:color="auto"/>
          </w:divBdr>
        </w:div>
        <w:div w:id="115293373">
          <w:marLeft w:val="0"/>
          <w:marRight w:val="0"/>
          <w:marTop w:val="0"/>
          <w:marBottom w:val="0"/>
          <w:divBdr>
            <w:top w:val="none" w:sz="0" w:space="0" w:color="auto"/>
            <w:left w:val="none" w:sz="0" w:space="0" w:color="auto"/>
            <w:bottom w:val="none" w:sz="0" w:space="0" w:color="auto"/>
            <w:right w:val="none" w:sz="0" w:space="0" w:color="auto"/>
          </w:divBdr>
        </w:div>
        <w:div w:id="394814803">
          <w:marLeft w:val="0"/>
          <w:marRight w:val="0"/>
          <w:marTop w:val="0"/>
          <w:marBottom w:val="0"/>
          <w:divBdr>
            <w:top w:val="none" w:sz="0" w:space="0" w:color="auto"/>
            <w:left w:val="none" w:sz="0" w:space="0" w:color="auto"/>
            <w:bottom w:val="none" w:sz="0" w:space="0" w:color="auto"/>
            <w:right w:val="none" w:sz="0" w:space="0" w:color="auto"/>
          </w:divBdr>
        </w:div>
        <w:div w:id="817502990">
          <w:marLeft w:val="0"/>
          <w:marRight w:val="0"/>
          <w:marTop w:val="0"/>
          <w:marBottom w:val="0"/>
          <w:divBdr>
            <w:top w:val="none" w:sz="0" w:space="0" w:color="auto"/>
            <w:left w:val="none" w:sz="0" w:space="0" w:color="auto"/>
            <w:bottom w:val="none" w:sz="0" w:space="0" w:color="auto"/>
            <w:right w:val="none" w:sz="0" w:space="0" w:color="auto"/>
          </w:divBdr>
        </w:div>
        <w:div w:id="1214464147">
          <w:marLeft w:val="0"/>
          <w:marRight w:val="0"/>
          <w:marTop w:val="0"/>
          <w:marBottom w:val="0"/>
          <w:divBdr>
            <w:top w:val="none" w:sz="0" w:space="0" w:color="auto"/>
            <w:left w:val="none" w:sz="0" w:space="0" w:color="auto"/>
            <w:bottom w:val="none" w:sz="0" w:space="0" w:color="auto"/>
            <w:right w:val="none" w:sz="0" w:space="0" w:color="auto"/>
          </w:divBdr>
        </w:div>
        <w:div w:id="1583028328">
          <w:marLeft w:val="0"/>
          <w:marRight w:val="0"/>
          <w:marTop w:val="0"/>
          <w:marBottom w:val="0"/>
          <w:divBdr>
            <w:top w:val="none" w:sz="0" w:space="0" w:color="auto"/>
            <w:left w:val="none" w:sz="0" w:space="0" w:color="auto"/>
            <w:bottom w:val="none" w:sz="0" w:space="0" w:color="auto"/>
            <w:right w:val="none" w:sz="0" w:space="0" w:color="auto"/>
          </w:divBdr>
        </w:div>
        <w:div w:id="1696150804">
          <w:marLeft w:val="0"/>
          <w:marRight w:val="0"/>
          <w:marTop w:val="0"/>
          <w:marBottom w:val="0"/>
          <w:divBdr>
            <w:top w:val="none" w:sz="0" w:space="0" w:color="auto"/>
            <w:left w:val="none" w:sz="0" w:space="0" w:color="auto"/>
            <w:bottom w:val="none" w:sz="0" w:space="0" w:color="auto"/>
            <w:right w:val="none" w:sz="0" w:space="0" w:color="auto"/>
          </w:divBdr>
        </w:div>
        <w:div w:id="1848592353">
          <w:marLeft w:val="0"/>
          <w:marRight w:val="0"/>
          <w:marTop w:val="0"/>
          <w:marBottom w:val="0"/>
          <w:divBdr>
            <w:top w:val="none" w:sz="0" w:space="0" w:color="auto"/>
            <w:left w:val="none" w:sz="0" w:space="0" w:color="auto"/>
            <w:bottom w:val="none" w:sz="0" w:space="0" w:color="auto"/>
            <w:right w:val="none" w:sz="0" w:space="0" w:color="auto"/>
          </w:divBdr>
        </w:div>
        <w:div w:id="1850557464">
          <w:marLeft w:val="0"/>
          <w:marRight w:val="0"/>
          <w:marTop w:val="0"/>
          <w:marBottom w:val="0"/>
          <w:divBdr>
            <w:top w:val="none" w:sz="0" w:space="0" w:color="auto"/>
            <w:left w:val="none" w:sz="0" w:space="0" w:color="auto"/>
            <w:bottom w:val="none" w:sz="0" w:space="0" w:color="auto"/>
            <w:right w:val="none" w:sz="0" w:space="0" w:color="auto"/>
          </w:divBdr>
          <w:divsChild>
            <w:div w:id="1136525415">
              <w:marLeft w:val="0"/>
              <w:marRight w:val="0"/>
              <w:marTop w:val="0"/>
              <w:marBottom w:val="0"/>
              <w:divBdr>
                <w:top w:val="none" w:sz="0" w:space="0" w:color="auto"/>
                <w:left w:val="none" w:sz="0" w:space="0" w:color="auto"/>
                <w:bottom w:val="none" w:sz="0" w:space="0" w:color="auto"/>
                <w:right w:val="none" w:sz="0" w:space="0" w:color="auto"/>
              </w:divBdr>
            </w:div>
          </w:divsChild>
        </w:div>
        <w:div w:id="1863274415">
          <w:marLeft w:val="0"/>
          <w:marRight w:val="0"/>
          <w:marTop w:val="0"/>
          <w:marBottom w:val="0"/>
          <w:divBdr>
            <w:top w:val="none" w:sz="0" w:space="0" w:color="auto"/>
            <w:left w:val="none" w:sz="0" w:space="0" w:color="auto"/>
            <w:bottom w:val="none" w:sz="0" w:space="0" w:color="auto"/>
            <w:right w:val="none" w:sz="0" w:space="0" w:color="auto"/>
          </w:divBdr>
        </w:div>
        <w:div w:id="1878196304">
          <w:marLeft w:val="0"/>
          <w:marRight w:val="0"/>
          <w:marTop w:val="0"/>
          <w:marBottom w:val="0"/>
          <w:divBdr>
            <w:top w:val="none" w:sz="0" w:space="0" w:color="auto"/>
            <w:left w:val="none" w:sz="0" w:space="0" w:color="auto"/>
            <w:bottom w:val="none" w:sz="0" w:space="0" w:color="auto"/>
            <w:right w:val="none" w:sz="0" w:space="0" w:color="auto"/>
          </w:divBdr>
        </w:div>
        <w:div w:id="195135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62F8-EA6A-4BE5-B458-BAC7D4B3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DRAFTS.DOT</Template>
  <TotalTime>0</TotalTime>
  <Pages>6</Pages>
  <Words>1855</Words>
  <Characters>11057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Model 450 - Ins. Holding Company System Mod. Reg.</vt:lpstr>
    </vt:vector>
  </TitlesOfParts>
  <Company>NAIC</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450 - Ins. Holding Company System Mod. Reg.</dc:title>
  <dc:creator>Courser, Brandis</dc:creator>
  <cp:lastModifiedBy>Bess Boesiger</cp:lastModifiedBy>
  <cp:revision>2</cp:revision>
  <cp:lastPrinted>2016-04-22T21:53:00Z</cp:lastPrinted>
  <dcterms:created xsi:type="dcterms:W3CDTF">2016-06-10T20:48:00Z</dcterms:created>
  <dcterms:modified xsi:type="dcterms:W3CDTF">2016-06-10T20:48:00Z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